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Pr="00E40606" w:rsidRDefault="007D7F4C" w:rsidP="00674E30">
      <w:pPr>
        <w:pStyle w:val="ListParagraph"/>
        <w:numPr>
          <w:ilvl w:val="0"/>
          <w:numId w:val="17"/>
        </w:numPr>
        <w:tabs>
          <w:tab w:val="left" w:pos="0"/>
        </w:tabs>
        <w:spacing w:line="240" w:lineRule="auto"/>
        <w:ind w:left="0" w:firstLine="0"/>
        <w:jc w:val="both"/>
        <w:rPr>
          <w:rFonts w:ascii="Arial" w:hAnsi="Arial" w:cs="Arial"/>
          <w:b/>
          <w:bCs/>
        </w:rPr>
      </w:pPr>
      <w:r w:rsidRPr="00E40606">
        <w:rPr>
          <w:rFonts w:ascii="Arial" w:hAnsi="Arial" w:cs="Arial"/>
          <w:b/>
          <w:bCs/>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121D8A4C" w14:textId="77777777" w:rsidR="00E40606" w:rsidRPr="00E40606" w:rsidRDefault="00E40606" w:rsidP="00E40606">
      <w:pPr>
        <w:pStyle w:val="ListParagraph"/>
        <w:numPr>
          <w:ilvl w:val="0"/>
          <w:numId w:val="17"/>
        </w:numPr>
        <w:tabs>
          <w:tab w:val="left" w:pos="0"/>
        </w:tabs>
        <w:spacing w:before="240" w:line="360" w:lineRule="auto"/>
        <w:ind w:left="0" w:firstLine="0"/>
        <w:jc w:val="both"/>
        <w:rPr>
          <w:rFonts w:ascii="Arial" w:hAnsi="Arial" w:cs="Arial"/>
          <w:b/>
          <w:bCs/>
        </w:rPr>
      </w:pPr>
      <w:r w:rsidRPr="00E40606">
        <w:rPr>
          <w:rFonts w:ascii="Arial" w:hAnsi="Arial" w:cs="Arial"/>
          <w:b/>
          <w:bCs/>
        </w:rPr>
        <w:t>Key Modules &amp; Components</w:t>
      </w:r>
    </w:p>
    <w:p w14:paraId="124F418E" w14:textId="69973809"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User Management (UM)</w:t>
      </w:r>
    </w:p>
    <w:p w14:paraId="0592A40E"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Course Management (CM)</w:t>
      </w:r>
    </w:p>
    <w:p w14:paraId="65AC5ACA"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Content Delivery (CD)</w:t>
      </w:r>
    </w:p>
    <w:p w14:paraId="2023EFF2"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lastRenderedPageBreak/>
        <w:t>Assignment &amp; Assessment (AA)</w:t>
      </w:r>
    </w:p>
    <w:p w14:paraId="1DB8D45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Enrollment &amp; Scheduling (ES)</w:t>
      </w:r>
    </w:p>
    <w:p w14:paraId="56B77EC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Analytics &amp; Reporting (AR)</w:t>
      </w:r>
    </w:p>
    <w:p w14:paraId="58884CD9"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b/>
          <w:bCs/>
        </w:rPr>
      </w:pPr>
      <w:r w:rsidRPr="00E40606">
        <w:rPr>
          <w:rFonts w:ascii="Arial" w:hAnsi="Arial" w:cs="Arial"/>
        </w:rPr>
        <w:t>Compliance &amp; Auditing (RP)</w:t>
      </w:r>
    </w:p>
    <w:p w14:paraId="77BCC173" w14:textId="77777777" w:rsidR="00BA27DB" w:rsidRDefault="00BA27DB" w:rsidP="00BA27DB">
      <w:pPr>
        <w:pStyle w:val="ListParagraph"/>
        <w:tabs>
          <w:tab w:val="left" w:pos="0"/>
        </w:tabs>
        <w:spacing w:line="240" w:lineRule="auto"/>
        <w:ind w:left="0"/>
        <w:jc w:val="both"/>
        <w:rPr>
          <w:rFonts w:ascii="Arial" w:hAnsi="Arial" w:cs="Arial"/>
          <w:b/>
          <w:bCs/>
        </w:rPr>
      </w:pPr>
    </w:p>
    <w:p w14:paraId="51DE562B" w14:textId="47EA0488" w:rsidR="00BA27DB" w:rsidRPr="00BA27DB" w:rsidRDefault="00BA27DB" w:rsidP="00BA27DB">
      <w:pPr>
        <w:pStyle w:val="ListParagraph"/>
        <w:numPr>
          <w:ilvl w:val="0"/>
          <w:numId w:val="17"/>
        </w:numPr>
        <w:tabs>
          <w:tab w:val="left" w:pos="0"/>
        </w:tabs>
        <w:spacing w:line="240" w:lineRule="auto"/>
        <w:ind w:left="0" w:firstLine="0"/>
        <w:jc w:val="both"/>
        <w:rPr>
          <w:rFonts w:ascii="Arial" w:hAnsi="Arial" w:cs="Arial"/>
          <w:b/>
          <w:bCs/>
        </w:rPr>
      </w:pPr>
      <w:r w:rsidRPr="00BA27DB">
        <w:rPr>
          <w:rFonts w:ascii="Arial" w:hAnsi="Arial" w:cs="Arial"/>
          <w:b/>
          <w:bCs/>
        </w:rPr>
        <w:t>Integration Overview</w:t>
      </w:r>
    </w:p>
    <w:p w14:paraId="599C9E24" w14:textId="7DDC0AD3" w:rsidR="00BA27DB" w:rsidRPr="00BA27DB" w:rsidRDefault="00BA27DB" w:rsidP="00286702">
      <w:pPr>
        <w:pStyle w:val="ListParagraph"/>
        <w:numPr>
          <w:ilvl w:val="1"/>
          <w:numId w:val="17"/>
        </w:numPr>
        <w:tabs>
          <w:tab w:val="left" w:pos="0"/>
        </w:tabs>
        <w:spacing w:before="240" w:line="360" w:lineRule="auto"/>
        <w:ind w:firstLine="0"/>
        <w:contextualSpacing w:val="0"/>
        <w:jc w:val="both"/>
        <w:rPr>
          <w:rFonts w:ascii="Arial" w:hAnsi="Arial" w:cs="Arial"/>
        </w:rPr>
      </w:pPr>
      <w:r w:rsidRPr="00BA27DB">
        <w:rPr>
          <w:rFonts w:ascii="Arial" w:hAnsi="Arial" w:cs="Arial"/>
          <w:b/>
          <w:bCs/>
        </w:rPr>
        <w:t>External Systems</w:t>
      </w:r>
    </w:p>
    <w:p w14:paraId="686BA1D8" w14:textId="63AB1CED"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Active Directory</w:t>
      </w:r>
      <w:r w:rsidR="00286702" w:rsidRPr="00286702">
        <w:rPr>
          <w:rFonts w:ascii="Arial" w:hAnsi="Arial" w:cs="Arial"/>
          <w:b/>
          <w:bCs/>
        </w:rPr>
        <w:t>.</w:t>
      </w:r>
      <w:r w:rsidR="00286702" w:rsidRPr="00286702">
        <w:rPr>
          <w:rFonts w:ascii="Arial" w:hAnsi="Arial" w:cs="Arial"/>
        </w:rPr>
        <w:tab/>
      </w:r>
      <w:r w:rsidRPr="00BA27DB">
        <w:rPr>
          <w:rFonts w:ascii="Arial" w:hAnsi="Arial" w:cs="Arial"/>
        </w:rPr>
        <w:t>SSO and role management</w:t>
      </w:r>
      <w:r w:rsidR="00286702">
        <w:rPr>
          <w:rFonts w:ascii="Arial" w:hAnsi="Arial" w:cs="Arial"/>
        </w:rPr>
        <w:t>.</w:t>
      </w:r>
    </w:p>
    <w:p w14:paraId="042CC259" w14:textId="2C0C01BB"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SIS</w:t>
      </w:r>
      <w:r w:rsidR="00286702">
        <w:rPr>
          <w:rFonts w:ascii="Arial" w:hAnsi="Arial" w:cs="Arial"/>
          <w:b/>
          <w:bCs/>
        </w:rPr>
        <w:t>.</w:t>
      </w:r>
      <w:r w:rsidR="00286702">
        <w:rPr>
          <w:rFonts w:ascii="Arial" w:hAnsi="Arial" w:cs="Arial"/>
          <w:b/>
          <w:bCs/>
        </w:rPr>
        <w:tab/>
      </w:r>
      <w:r w:rsidRPr="00BA27DB">
        <w:rPr>
          <w:rFonts w:ascii="Arial" w:hAnsi="Arial" w:cs="Arial"/>
        </w:rPr>
        <w:t>Sync student/course/enrollment data</w:t>
      </w:r>
      <w:r w:rsidR="00286702">
        <w:rPr>
          <w:rFonts w:ascii="Arial" w:hAnsi="Arial" w:cs="Arial"/>
        </w:rPr>
        <w:t>.</w:t>
      </w:r>
    </w:p>
    <w:p w14:paraId="442892DE" w14:textId="46538D39"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Turnitin API</w:t>
      </w:r>
      <w:r w:rsidR="00286702">
        <w:rPr>
          <w:rFonts w:ascii="Arial" w:hAnsi="Arial" w:cs="Arial"/>
          <w:b/>
          <w:bCs/>
        </w:rPr>
        <w:t>.</w:t>
      </w:r>
      <w:r w:rsidR="00286702">
        <w:rPr>
          <w:rFonts w:ascii="Arial" w:hAnsi="Arial" w:cs="Arial"/>
          <w:b/>
          <w:bCs/>
        </w:rPr>
        <w:tab/>
      </w:r>
      <w:r w:rsidRPr="00BA27DB">
        <w:rPr>
          <w:rFonts w:ascii="Arial" w:hAnsi="Arial" w:cs="Arial"/>
        </w:rPr>
        <w:t>Check plagiarism on submission event</w:t>
      </w:r>
      <w:r w:rsidR="00286702">
        <w:rPr>
          <w:rFonts w:ascii="Arial" w:hAnsi="Arial" w:cs="Arial"/>
        </w:rPr>
        <w:t>.</w:t>
      </w:r>
    </w:p>
    <w:p w14:paraId="1D11E95C" w14:textId="77777777" w:rsidR="00BA27DB" w:rsidRDefault="00BA27DB" w:rsidP="00E40606">
      <w:pPr>
        <w:spacing w:after="0" w:line="360" w:lineRule="auto"/>
        <w:ind w:left="720"/>
        <w:jc w:val="both"/>
        <w:rPr>
          <w:rFonts w:ascii="Arial" w:hAnsi="Arial" w:cs="Arial"/>
        </w:rPr>
      </w:pPr>
    </w:p>
    <w:p w14:paraId="297D9C7C" w14:textId="77777777" w:rsidR="00FF0491" w:rsidRPr="00FF0491" w:rsidRDefault="00FF0491" w:rsidP="00FF0491">
      <w:pPr>
        <w:spacing w:after="0" w:line="360" w:lineRule="auto"/>
        <w:ind w:left="720"/>
        <w:jc w:val="both"/>
        <w:rPr>
          <w:rFonts w:ascii="Arial" w:hAnsi="Arial" w:cs="Arial"/>
          <w:b/>
          <w:bCs/>
        </w:rPr>
      </w:pPr>
      <w:r w:rsidRPr="00FF0491">
        <w:rPr>
          <w:rFonts w:ascii="Arial" w:hAnsi="Arial" w:cs="Arial"/>
          <w:b/>
          <w:bCs/>
        </w:rPr>
        <w:t>Security Considerations</w:t>
      </w:r>
    </w:p>
    <w:p w14:paraId="52E90A67" w14:textId="77777777" w:rsidR="00FF0491" w:rsidRPr="00FF0491" w:rsidRDefault="00FF0491" w:rsidP="00FF0491">
      <w:pPr>
        <w:numPr>
          <w:ilvl w:val="0"/>
          <w:numId w:val="72"/>
        </w:numPr>
        <w:spacing w:after="0" w:line="360" w:lineRule="auto"/>
        <w:jc w:val="both"/>
        <w:rPr>
          <w:rFonts w:ascii="Arial" w:hAnsi="Arial" w:cs="Arial"/>
        </w:rPr>
      </w:pPr>
      <w:r w:rsidRPr="00FF0491">
        <w:rPr>
          <w:rFonts w:ascii="Arial" w:hAnsi="Arial" w:cs="Arial"/>
        </w:rPr>
        <w:t>All traffic over HTTPS</w:t>
      </w:r>
    </w:p>
    <w:p w14:paraId="5140E496" w14:textId="77777777" w:rsidR="00FF0491" w:rsidRPr="00FF0491" w:rsidRDefault="00FF0491" w:rsidP="00FF0491">
      <w:pPr>
        <w:numPr>
          <w:ilvl w:val="0"/>
          <w:numId w:val="72"/>
        </w:numPr>
        <w:spacing w:after="0" w:line="360" w:lineRule="auto"/>
        <w:jc w:val="both"/>
        <w:rPr>
          <w:rFonts w:ascii="Arial" w:hAnsi="Arial" w:cs="Arial"/>
        </w:rPr>
      </w:pPr>
      <w:r w:rsidRPr="00FF0491">
        <w:rPr>
          <w:rFonts w:ascii="Arial" w:hAnsi="Arial" w:cs="Arial"/>
        </w:rPr>
        <w:t>Token-based auth (JWT)</w:t>
      </w:r>
    </w:p>
    <w:p w14:paraId="418E4029" w14:textId="77777777" w:rsidR="00FF0491" w:rsidRPr="00FF0491" w:rsidRDefault="00FF0491" w:rsidP="00FF0491">
      <w:pPr>
        <w:numPr>
          <w:ilvl w:val="0"/>
          <w:numId w:val="72"/>
        </w:numPr>
        <w:spacing w:after="0" w:line="360" w:lineRule="auto"/>
        <w:jc w:val="both"/>
        <w:rPr>
          <w:rFonts w:ascii="Arial" w:hAnsi="Arial" w:cs="Arial"/>
        </w:rPr>
      </w:pPr>
      <w:r w:rsidRPr="00FF0491">
        <w:rPr>
          <w:rFonts w:ascii="Arial" w:hAnsi="Arial" w:cs="Arial"/>
        </w:rPr>
        <w:t>Encrypted file storage (assignments, content)</w:t>
      </w:r>
    </w:p>
    <w:p w14:paraId="09402D6E" w14:textId="77777777" w:rsidR="00FF0491" w:rsidRPr="00FF0491" w:rsidRDefault="00FF0491" w:rsidP="00FF0491">
      <w:pPr>
        <w:numPr>
          <w:ilvl w:val="0"/>
          <w:numId w:val="72"/>
        </w:numPr>
        <w:spacing w:after="0" w:line="360" w:lineRule="auto"/>
        <w:jc w:val="both"/>
        <w:rPr>
          <w:rFonts w:ascii="Arial" w:hAnsi="Arial" w:cs="Arial"/>
        </w:rPr>
      </w:pPr>
      <w:r w:rsidRPr="00FF0491">
        <w:rPr>
          <w:rFonts w:ascii="Arial" w:hAnsi="Arial" w:cs="Arial"/>
        </w:rPr>
        <w:t>Secure API gateway (rate-limiting, audit logging)</w:t>
      </w:r>
    </w:p>
    <w:p w14:paraId="023E7ACF" w14:textId="77777777" w:rsidR="00FF0491" w:rsidRPr="00FF0491" w:rsidRDefault="00FF0491" w:rsidP="00FF0491">
      <w:pPr>
        <w:spacing w:after="0" w:line="360" w:lineRule="auto"/>
        <w:ind w:left="720"/>
        <w:jc w:val="both"/>
        <w:rPr>
          <w:rFonts w:ascii="Arial" w:hAnsi="Arial" w:cs="Arial"/>
          <w:b/>
          <w:bCs/>
        </w:rPr>
      </w:pPr>
      <w:r w:rsidRPr="00FF0491">
        <w:rPr>
          <w:rFonts w:ascii="Arial" w:hAnsi="Arial" w:cs="Arial"/>
          <w:b/>
          <w:bCs/>
        </w:rPr>
        <w:t>Scalability Plan</w:t>
      </w:r>
    </w:p>
    <w:p w14:paraId="31FA19D0" w14:textId="77777777" w:rsidR="00FF0491" w:rsidRPr="00FF0491" w:rsidRDefault="00FF0491" w:rsidP="00FF0491">
      <w:pPr>
        <w:numPr>
          <w:ilvl w:val="0"/>
          <w:numId w:val="73"/>
        </w:numPr>
        <w:spacing w:after="0" w:line="360" w:lineRule="auto"/>
        <w:jc w:val="both"/>
        <w:rPr>
          <w:rFonts w:ascii="Arial" w:hAnsi="Arial" w:cs="Arial"/>
        </w:rPr>
      </w:pPr>
      <w:r w:rsidRPr="00FF0491">
        <w:rPr>
          <w:rFonts w:ascii="Arial" w:hAnsi="Arial" w:cs="Arial"/>
        </w:rPr>
        <w:t>Horizontal scaling using container orchestration (Kubernetes)</w:t>
      </w:r>
    </w:p>
    <w:p w14:paraId="62BD0665" w14:textId="77777777" w:rsidR="00FF0491" w:rsidRPr="00FF0491" w:rsidRDefault="00FF0491" w:rsidP="00FF0491">
      <w:pPr>
        <w:numPr>
          <w:ilvl w:val="0"/>
          <w:numId w:val="73"/>
        </w:numPr>
        <w:spacing w:after="0" w:line="360" w:lineRule="auto"/>
        <w:jc w:val="both"/>
        <w:rPr>
          <w:rFonts w:ascii="Arial" w:hAnsi="Arial" w:cs="Arial"/>
        </w:rPr>
      </w:pPr>
      <w:r w:rsidRPr="00FF0491">
        <w:rPr>
          <w:rFonts w:ascii="Arial" w:hAnsi="Arial" w:cs="Arial"/>
        </w:rPr>
        <w:t>Load balancers to distribute traffic</w:t>
      </w:r>
    </w:p>
    <w:p w14:paraId="08AB4CA0" w14:textId="77777777" w:rsidR="00FF0491" w:rsidRPr="00FF0491" w:rsidRDefault="00FF0491" w:rsidP="00FF0491">
      <w:pPr>
        <w:numPr>
          <w:ilvl w:val="0"/>
          <w:numId w:val="73"/>
        </w:numPr>
        <w:spacing w:after="0" w:line="360" w:lineRule="auto"/>
        <w:jc w:val="both"/>
        <w:rPr>
          <w:rFonts w:ascii="Arial" w:hAnsi="Arial" w:cs="Arial"/>
        </w:rPr>
      </w:pPr>
      <w:r w:rsidRPr="00FF0491">
        <w:rPr>
          <w:rFonts w:ascii="Arial" w:hAnsi="Arial" w:cs="Arial"/>
        </w:rPr>
        <w:t>Caching (Redis) for high-frequency reads (e.g., course listings)</w:t>
      </w:r>
    </w:p>
    <w:p w14:paraId="2EA75A3C" w14:textId="77777777" w:rsidR="00FF0491" w:rsidRPr="00FF0491" w:rsidRDefault="00FF0491" w:rsidP="00FF0491">
      <w:pPr>
        <w:numPr>
          <w:ilvl w:val="0"/>
          <w:numId w:val="73"/>
        </w:numPr>
        <w:spacing w:after="0" w:line="360" w:lineRule="auto"/>
        <w:jc w:val="both"/>
        <w:rPr>
          <w:rFonts w:ascii="Arial" w:hAnsi="Arial" w:cs="Arial"/>
        </w:rPr>
      </w:pPr>
      <w:r w:rsidRPr="00FF0491">
        <w:rPr>
          <w:rFonts w:ascii="Arial" w:hAnsi="Arial" w:cs="Arial"/>
        </w:rPr>
        <w:t>Asynchronous job processing for report generation &amp; Turnitin checks</w:t>
      </w:r>
    </w:p>
    <w:p w14:paraId="55698EBE" w14:textId="77777777" w:rsidR="00FF0491" w:rsidRPr="00FF0491" w:rsidRDefault="00FF0491" w:rsidP="00FF0491">
      <w:pPr>
        <w:spacing w:after="0" w:line="360" w:lineRule="auto"/>
        <w:ind w:left="720"/>
        <w:jc w:val="both"/>
        <w:rPr>
          <w:rFonts w:ascii="Arial" w:hAnsi="Arial" w:cs="Arial"/>
          <w:b/>
          <w:bCs/>
        </w:rPr>
      </w:pPr>
      <w:r w:rsidRPr="00FF0491">
        <w:rPr>
          <w:rFonts w:ascii="Arial" w:hAnsi="Arial" w:cs="Arial"/>
          <w:b/>
          <w:bCs/>
        </w:rPr>
        <w:t>Error Handling &amp; Logging</w:t>
      </w:r>
    </w:p>
    <w:p w14:paraId="4D95E3EB" w14:textId="77777777" w:rsidR="00FF0491" w:rsidRPr="00FF0491" w:rsidRDefault="00FF0491" w:rsidP="00FF0491">
      <w:pPr>
        <w:numPr>
          <w:ilvl w:val="0"/>
          <w:numId w:val="74"/>
        </w:numPr>
        <w:spacing w:after="0" w:line="360" w:lineRule="auto"/>
        <w:jc w:val="both"/>
        <w:rPr>
          <w:rFonts w:ascii="Arial" w:hAnsi="Arial" w:cs="Arial"/>
        </w:rPr>
      </w:pPr>
      <w:r w:rsidRPr="00FF0491">
        <w:rPr>
          <w:rFonts w:ascii="Arial" w:hAnsi="Arial" w:cs="Arial"/>
        </w:rPr>
        <w:t>Centralized logging (e.g., ELK Stack)</w:t>
      </w:r>
    </w:p>
    <w:p w14:paraId="0A55807F" w14:textId="77777777" w:rsidR="00FF0491" w:rsidRPr="00FF0491" w:rsidRDefault="00FF0491" w:rsidP="00FF0491">
      <w:pPr>
        <w:numPr>
          <w:ilvl w:val="0"/>
          <w:numId w:val="74"/>
        </w:numPr>
        <w:spacing w:after="0" w:line="360" w:lineRule="auto"/>
        <w:jc w:val="both"/>
        <w:rPr>
          <w:rFonts w:ascii="Arial" w:hAnsi="Arial" w:cs="Arial"/>
        </w:rPr>
      </w:pPr>
      <w:r w:rsidRPr="00FF0491">
        <w:rPr>
          <w:rFonts w:ascii="Arial" w:hAnsi="Arial" w:cs="Arial"/>
        </w:rPr>
        <w:t>Standard HTTP error codes with custom error payloads</w:t>
      </w:r>
    </w:p>
    <w:p w14:paraId="0D2F3E9D" w14:textId="77777777" w:rsidR="00FF0491" w:rsidRPr="00FF0491" w:rsidRDefault="00FF0491" w:rsidP="00FF0491">
      <w:pPr>
        <w:numPr>
          <w:ilvl w:val="0"/>
          <w:numId w:val="74"/>
        </w:numPr>
        <w:spacing w:after="0" w:line="360" w:lineRule="auto"/>
        <w:jc w:val="both"/>
        <w:rPr>
          <w:rFonts w:ascii="Arial" w:hAnsi="Arial" w:cs="Arial"/>
        </w:rPr>
      </w:pPr>
      <w:r w:rsidRPr="00FF0491">
        <w:rPr>
          <w:rFonts w:ascii="Arial" w:hAnsi="Arial" w:cs="Arial"/>
        </w:rPr>
        <w:t>Notification alerts for API failures or job errors (Slack/email)</w:t>
      </w:r>
    </w:p>
    <w:p w14:paraId="45AA21F5" w14:textId="77777777" w:rsidR="00BA27DB" w:rsidRDefault="00BA27DB" w:rsidP="00E40606">
      <w:pPr>
        <w:spacing w:after="0" w:line="360" w:lineRule="auto"/>
        <w:ind w:left="720"/>
        <w:jc w:val="both"/>
        <w:rPr>
          <w:rFonts w:ascii="Arial" w:hAnsi="Arial" w:cs="Arial"/>
        </w:rPr>
      </w:pPr>
    </w:p>
    <w:p w14:paraId="3A60BA91" w14:textId="77777777" w:rsidR="00FF0491" w:rsidRDefault="00FF0491" w:rsidP="00E40606">
      <w:pPr>
        <w:spacing w:after="0" w:line="360" w:lineRule="auto"/>
        <w:ind w:left="720"/>
        <w:jc w:val="both"/>
        <w:rPr>
          <w:rFonts w:ascii="Arial" w:hAnsi="Arial" w:cs="Arial"/>
        </w:rPr>
      </w:pPr>
    </w:p>
    <w:p w14:paraId="7FF8FA85" w14:textId="5332245F" w:rsidR="00E40606" w:rsidRPr="00E40606" w:rsidRDefault="00E40606" w:rsidP="00E40606">
      <w:pPr>
        <w:spacing w:after="0" w:line="360" w:lineRule="auto"/>
        <w:ind w:left="720"/>
        <w:jc w:val="both"/>
        <w:rPr>
          <w:rFonts w:ascii="Arial" w:hAnsi="Arial" w:cs="Arial"/>
        </w:rPr>
      </w:pPr>
      <w:r w:rsidRPr="00E40606">
        <w:rPr>
          <w:rFonts w:ascii="Arial" w:hAnsi="Arial" w:cs="Arial"/>
        </w:rPr>
        <w:t>Each module communicates via API endpoints and shares session/auth context.</w:t>
      </w:r>
    </w:p>
    <w:p w14:paraId="085A391C" w14:textId="77777777" w:rsidR="00E40606" w:rsidRDefault="00E40606" w:rsidP="007D7F4C">
      <w:pPr>
        <w:spacing w:after="0" w:line="360" w:lineRule="auto"/>
        <w:ind w:left="720"/>
        <w:jc w:val="both"/>
        <w:rPr>
          <w:rFonts w:ascii="Arial" w:hAnsi="Arial" w:cs="Arial"/>
        </w:rPr>
      </w:pPr>
    </w:p>
    <w:p w14:paraId="0534DE16" w14:textId="52EDD03B" w:rsidR="00022FB5" w:rsidRDefault="00553FA2" w:rsidP="007D7F4C">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lastRenderedPageBreak/>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lastRenderedPageBreak/>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lastRenderedPageBreak/>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lastRenderedPageBreak/>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lastRenderedPageBreak/>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lastRenderedPageBreak/>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F5D6E" w14:textId="77777777" w:rsidR="00FC6EA5" w:rsidRDefault="00FC6EA5" w:rsidP="00CD0F45">
      <w:pPr>
        <w:spacing w:after="0" w:line="240" w:lineRule="auto"/>
      </w:pPr>
      <w:r>
        <w:separator/>
      </w:r>
    </w:p>
  </w:endnote>
  <w:endnote w:type="continuationSeparator" w:id="0">
    <w:p w14:paraId="3CB882E2" w14:textId="77777777" w:rsidR="00FC6EA5" w:rsidRDefault="00FC6EA5"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975BB" w14:textId="77777777" w:rsidR="00FC6EA5" w:rsidRDefault="00FC6EA5" w:rsidP="00CD0F45">
      <w:pPr>
        <w:spacing w:after="0" w:line="240" w:lineRule="auto"/>
      </w:pPr>
      <w:r>
        <w:separator/>
      </w:r>
    </w:p>
  </w:footnote>
  <w:footnote w:type="continuationSeparator" w:id="0">
    <w:p w14:paraId="1B7D895C" w14:textId="77777777" w:rsidR="00FC6EA5" w:rsidRDefault="00FC6EA5"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5746008"/>
    <w:multiLevelType w:val="multilevel"/>
    <w:tmpl w:val="9FD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00747"/>
    <w:multiLevelType w:val="multilevel"/>
    <w:tmpl w:val="98F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8614B"/>
    <w:multiLevelType w:val="multilevel"/>
    <w:tmpl w:val="A2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644545"/>
    <w:multiLevelType w:val="multilevel"/>
    <w:tmpl w:val="4D1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F268D"/>
    <w:multiLevelType w:val="multilevel"/>
    <w:tmpl w:val="732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4"/>
  </w:num>
  <w:num w:numId="2" w16cid:durableId="926117157">
    <w:abstractNumId w:val="34"/>
  </w:num>
  <w:num w:numId="3" w16cid:durableId="529219178">
    <w:abstractNumId w:val="39"/>
  </w:num>
  <w:num w:numId="4" w16cid:durableId="1388184799">
    <w:abstractNumId w:val="25"/>
  </w:num>
  <w:num w:numId="5" w16cid:durableId="132598697">
    <w:abstractNumId w:val="55"/>
  </w:num>
  <w:num w:numId="6" w16cid:durableId="61024830">
    <w:abstractNumId w:val="35"/>
  </w:num>
  <w:num w:numId="7" w16cid:durableId="922302567">
    <w:abstractNumId w:val="11"/>
  </w:num>
  <w:num w:numId="8" w16cid:durableId="1773940477">
    <w:abstractNumId w:val="62"/>
  </w:num>
  <w:num w:numId="9" w16cid:durableId="348482887">
    <w:abstractNumId w:val="3"/>
  </w:num>
  <w:num w:numId="10" w16cid:durableId="1860705416">
    <w:abstractNumId w:val="16"/>
  </w:num>
  <w:num w:numId="11" w16cid:durableId="2126996383">
    <w:abstractNumId w:val="29"/>
  </w:num>
  <w:num w:numId="12" w16cid:durableId="2084637451">
    <w:abstractNumId w:val="18"/>
  </w:num>
  <w:num w:numId="13" w16cid:durableId="773287470">
    <w:abstractNumId w:val="13"/>
  </w:num>
  <w:num w:numId="14" w16cid:durableId="778447659">
    <w:abstractNumId w:val="48"/>
  </w:num>
  <w:num w:numId="15" w16cid:durableId="1958029070">
    <w:abstractNumId w:val="52"/>
  </w:num>
  <w:num w:numId="16" w16cid:durableId="483358826">
    <w:abstractNumId w:val="10"/>
  </w:num>
  <w:num w:numId="17" w16cid:durableId="1767262221">
    <w:abstractNumId w:val="61"/>
  </w:num>
  <w:num w:numId="18" w16cid:durableId="288510722">
    <w:abstractNumId w:val="27"/>
  </w:num>
  <w:num w:numId="19" w16cid:durableId="1900624996">
    <w:abstractNumId w:val="7"/>
  </w:num>
  <w:num w:numId="20" w16cid:durableId="1581720276">
    <w:abstractNumId w:val="67"/>
  </w:num>
  <w:num w:numId="21" w16cid:durableId="1273588952">
    <w:abstractNumId w:val="47"/>
  </w:num>
  <w:num w:numId="22" w16cid:durableId="2073236847">
    <w:abstractNumId w:val="53"/>
  </w:num>
  <w:num w:numId="23" w16cid:durableId="1031999561">
    <w:abstractNumId w:val="45"/>
  </w:num>
  <w:num w:numId="24" w16cid:durableId="614604886">
    <w:abstractNumId w:val="12"/>
  </w:num>
  <w:num w:numId="25" w16cid:durableId="228465790">
    <w:abstractNumId w:val="32"/>
  </w:num>
  <w:num w:numId="26" w16cid:durableId="2017001478">
    <w:abstractNumId w:val="5"/>
  </w:num>
  <w:num w:numId="27" w16cid:durableId="838083092">
    <w:abstractNumId w:val="56"/>
  </w:num>
  <w:num w:numId="28" w16cid:durableId="88626750">
    <w:abstractNumId w:val="21"/>
  </w:num>
  <w:num w:numId="29" w16cid:durableId="1508715085">
    <w:abstractNumId w:val="59"/>
  </w:num>
  <w:num w:numId="30" w16cid:durableId="1971594141">
    <w:abstractNumId w:val="72"/>
  </w:num>
  <w:num w:numId="31" w16cid:durableId="1357079680">
    <w:abstractNumId w:val="63"/>
  </w:num>
  <w:num w:numId="32" w16cid:durableId="270628802">
    <w:abstractNumId w:val="17"/>
  </w:num>
  <w:num w:numId="33" w16cid:durableId="605159691">
    <w:abstractNumId w:val="28"/>
  </w:num>
  <w:num w:numId="34" w16cid:durableId="393430641">
    <w:abstractNumId w:val="26"/>
  </w:num>
  <w:num w:numId="35" w16cid:durableId="1778863183">
    <w:abstractNumId w:val="43"/>
  </w:num>
  <w:num w:numId="36" w16cid:durableId="1231960501">
    <w:abstractNumId w:val="60"/>
  </w:num>
  <w:num w:numId="37" w16cid:durableId="722948895">
    <w:abstractNumId w:val="19"/>
  </w:num>
  <w:num w:numId="38" w16cid:durableId="2134981849">
    <w:abstractNumId w:val="8"/>
  </w:num>
  <w:num w:numId="39" w16cid:durableId="1688211074">
    <w:abstractNumId w:val="64"/>
  </w:num>
  <w:num w:numId="40" w16cid:durableId="549109">
    <w:abstractNumId w:val="49"/>
  </w:num>
  <w:num w:numId="41" w16cid:durableId="1108349465">
    <w:abstractNumId w:val="30"/>
  </w:num>
  <w:num w:numId="42" w16cid:durableId="1067458329">
    <w:abstractNumId w:val="20"/>
  </w:num>
  <w:num w:numId="43" w16cid:durableId="1136798255">
    <w:abstractNumId w:val="36"/>
  </w:num>
  <w:num w:numId="44" w16cid:durableId="102189204">
    <w:abstractNumId w:val="41"/>
  </w:num>
  <w:num w:numId="45" w16cid:durableId="1305886956">
    <w:abstractNumId w:val="57"/>
  </w:num>
  <w:num w:numId="46" w16cid:durableId="1358389854">
    <w:abstractNumId w:val="44"/>
  </w:num>
  <w:num w:numId="47" w16cid:durableId="855341546">
    <w:abstractNumId w:val="0"/>
  </w:num>
  <w:num w:numId="48" w16cid:durableId="992759867">
    <w:abstractNumId w:val="70"/>
  </w:num>
  <w:num w:numId="49" w16cid:durableId="519051693">
    <w:abstractNumId w:val="22"/>
  </w:num>
  <w:num w:numId="50" w16cid:durableId="1065371452">
    <w:abstractNumId w:val="40"/>
  </w:num>
  <w:num w:numId="51" w16cid:durableId="788402872">
    <w:abstractNumId w:val="51"/>
  </w:num>
  <w:num w:numId="52" w16cid:durableId="715281669">
    <w:abstractNumId w:val="46"/>
  </w:num>
  <w:num w:numId="53" w16cid:durableId="874342879">
    <w:abstractNumId w:val="73"/>
  </w:num>
  <w:num w:numId="54" w16cid:durableId="1802110996">
    <w:abstractNumId w:val="1"/>
  </w:num>
  <w:num w:numId="55" w16cid:durableId="956181611">
    <w:abstractNumId w:val="14"/>
  </w:num>
  <w:num w:numId="56" w16cid:durableId="1519656764">
    <w:abstractNumId w:val="58"/>
  </w:num>
  <w:num w:numId="57" w16cid:durableId="2116093787">
    <w:abstractNumId w:val="9"/>
  </w:num>
  <w:num w:numId="58" w16cid:durableId="1910967842">
    <w:abstractNumId w:val="15"/>
  </w:num>
  <w:num w:numId="59" w16cid:durableId="76488430">
    <w:abstractNumId w:val="71"/>
  </w:num>
  <w:num w:numId="60" w16cid:durableId="772627522">
    <w:abstractNumId w:val="66"/>
  </w:num>
  <w:num w:numId="61" w16cid:durableId="1616136467">
    <w:abstractNumId w:val="4"/>
  </w:num>
  <w:num w:numId="62" w16cid:durableId="80487721">
    <w:abstractNumId w:val="50"/>
  </w:num>
  <w:num w:numId="63" w16cid:durableId="1085298338">
    <w:abstractNumId w:val="54"/>
  </w:num>
  <w:num w:numId="64" w16cid:durableId="1114516617">
    <w:abstractNumId w:val="68"/>
  </w:num>
  <w:num w:numId="65" w16cid:durableId="1419864387">
    <w:abstractNumId w:val="23"/>
  </w:num>
  <w:num w:numId="66" w16cid:durableId="1055200491">
    <w:abstractNumId w:val="37"/>
  </w:num>
  <w:num w:numId="67" w16cid:durableId="953710281">
    <w:abstractNumId w:val="65"/>
  </w:num>
  <w:num w:numId="68" w16cid:durableId="383020867">
    <w:abstractNumId w:val="38"/>
  </w:num>
  <w:num w:numId="69" w16cid:durableId="1597904269">
    <w:abstractNumId w:val="69"/>
  </w:num>
  <w:num w:numId="70" w16cid:durableId="296573394">
    <w:abstractNumId w:val="31"/>
  </w:num>
  <w:num w:numId="71" w16cid:durableId="1412235600">
    <w:abstractNumId w:val="6"/>
  </w:num>
  <w:num w:numId="72" w16cid:durableId="439495270">
    <w:abstractNumId w:val="33"/>
  </w:num>
  <w:num w:numId="73" w16cid:durableId="253823761">
    <w:abstractNumId w:val="42"/>
  </w:num>
  <w:num w:numId="74" w16cid:durableId="65203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6BE8"/>
    <w:rsid w:val="0000733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86702"/>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57340"/>
    <w:rsid w:val="005626E0"/>
    <w:rsid w:val="005637D5"/>
    <w:rsid w:val="00566B96"/>
    <w:rsid w:val="00570349"/>
    <w:rsid w:val="0057206E"/>
    <w:rsid w:val="0057635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3B9F"/>
    <w:rsid w:val="00B846C2"/>
    <w:rsid w:val="00B936DE"/>
    <w:rsid w:val="00BA15A7"/>
    <w:rsid w:val="00BA27DB"/>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0606"/>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A5"/>
    <w:rsid w:val="00FC6EC4"/>
    <w:rsid w:val="00FD19F6"/>
    <w:rsid w:val="00FD5DBC"/>
    <w:rsid w:val="00FD5DDA"/>
    <w:rsid w:val="00FD6DC1"/>
    <w:rsid w:val="00FE1F23"/>
    <w:rsid w:val="00FE33E2"/>
    <w:rsid w:val="00FE3969"/>
    <w:rsid w:val="00FE4C48"/>
    <w:rsid w:val="00FF0491"/>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59906192">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282348643">
      <w:bodyDiv w:val="1"/>
      <w:marLeft w:val="0"/>
      <w:marRight w:val="0"/>
      <w:marTop w:val="0"/>
      <w:marBottom w:val="0"/>
      <w:divBdr>
        <w:top w:val="none" w:sz="0" w:space="0" w:color="auto"/>
        <w:left w:val="none" w:sz="0" w:space="0" w:color="auto"/>
        <w:bottom w:val="none" w:sz="0" w:space="0" w:color="auto"/>
        <w:right w:val="none" w:sz="0" w:space="0" w:color="auto"/>
      </w:divBdr>
      <w:divsChild>
        <w:div w:id="179047388">
          <w:marLeft w:val="0"/>
          <w:marRight w:val="0"/>
          <w:marTop w:val="0"/>
          <w:marBottom w:val="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70886950">
      <w:bodyDiv w:val="1"/>
      <w:marLeft w:val="0"/>
      <w:marRight w:val="0"/>
      <w:marTop w:val="0"/>
      <w:marBottom w:val="0"/>
      <w:divBdr>
        <w:top w:val="none" w:sz="0" w:space="0" w:color="auto"/>
        <w:left w:val="none" w:sz="0" w:space="0" w:color="auto"/>
        <w:bottom w:val="none" w:sz="0" w:space="0" w:color="auto"/>
        <w:right w:val="none" w:sz="0" w:space="0" w:color="auto"/>
      </w:divBdr>
    </w:div>
    <w:div w:id="379718825">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0883751">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66227808">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389766576">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64887832">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361920">
      <w:bodyDiv w:val="1"/>
      <w:marLeft w:val="0"/>
      <w:marRight w:val="0"/>
      <w:marTop w:val="0"/>
      <w:marBottom w:val="0"/>
      <w:divBdr>
        <w:top w:val="none" w:sz="0" w:space="0" w:color="auto"/>
        <w:left w:val="none" w:sz="0" w:space="0" w:color="auto"/>
        <w:bottom w:val="none" w:sz="0" w:space="0" w:color="auto"/>
        <w:right w:val="none" w:sz="0" w:space="0" w:color="auto"/>
      </w:divBdr>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135059">
      <w:bodyDiv w:val="1"/>
      <w:marLeft w:val="0"/>
      <w:marRight w:val="0"/>
      <w:marTop w:val="0"/>
      <w:marBottom w:val="0"/>
      <w:divBdr>
        <w:top w:val="none" w:sz="0" w:space="0" w:color="auto"/>
        <w:left w:val="none" w:sz="0" w:space="0" w:color="auto"/>
        <w:bottom w:val="none" w:sz="0" w:space="0" w:color="auto"/>
        <w:right w:val="none" w:sz="0" w:space="0" w:color="auto"/>
      </w:divBdr>
      <w:divsChild>
        <w:div w:id="1308779043">
          <w:marLeft w:val="0"/>
          <w:marRight w:val="0"/>
          <w:marTop w:val="0"/>
          <w:marBottom w:val="0"/>
          <w:divBdr>
            <w:top w:val="none" w:sz="0" w:space="0" w:color="auto"/>
            <w:left w:val="none" w:sz="0" w:space="0" w:color="auto"/>
            <w:bottom w:val="none" w:sz="0" w:space="0" w:color="auto"/>
            <w:right w:val="none" w:sz="0" w:space="0" w:color="auto"/>
          </w:divBdr>
        </w:div>
      </w:divsChild>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57340"/>
    <w:rsid w:val="00587AF7"/>
    <w:rsid w:val="00592B1C"/>
    <w:rsid w:val="005A5692"/>
    <w:rsid w:val="005B3281"/>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1E2A"/>
    <w:rsid w:val="009D5855"/>
    <w:rsid w:val="009F5DC5"/>
    <w:rsid w:val="00A1073E"/>
    <w:rsid w:val="00A124E8"/>
    <w:rsid w:val="00B846C2"/>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21</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ex dev &amp; Technical business analyst</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1444</cp:revision>
  <cp:lastPrinted>2025-05-29T09:59:00Z</cp:lastPrinted>
  <dcterms:created xsi:type="dcterms:W3CDTF">2025-05-02T03:04:00Z</dcterms:created>
  <dcterms:modified xsi:type="dcterms:W3CDTF">2025-07-18T04:08:00Z</dcterms:modified>
</cp:coreProperties>
</file>