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3F641261" w14:textId="68A3707B" w:rsidR="00F136DF" w:rsidRDefault="00F136DF" w:rsidP="00F136DF">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987707" w:rsidRPr="00987707">
        <w:rPr>
          <w:rFonts w:ascii="Arial" w:hAnsi="Arial" w:cs="Arial"/>
        </w:rPr>
        <w:t xml:space="preserve">For a </w:t>
      </w:r>
      <w:r w:rsidR="00B313D1">
        <w:rPr>
          <w:rFonts w:ascii="Arial" w:hAnsi="Arial" w:cs="Arial"/>
        </w:rPr>
        <w:t>visual</w:t>
      </w:r>
      <w:r w:rsidR="00987707" w:rsidRPr="00987707">
        <w:rPr>
          <w:rFonts w:ascii="Arial" w:hAnsi="Arial" w:cs="Arial"/>
        </w:rPr>
        <w:t xml:space="preserve"> breakdown of the prioritized requirements, please refer to the </w:t>
      </w:r>
      <w:proofErr w:type="spellStart"/>
      <w:r w:rsidR="00987707" w:rsidRPr="00987707">
        <w:rPr>
          <w:rFonts w:ascii="Arial" w:hAnsi="Arial" w:cs="Arial"/>
        </w:rPr>
        <w:t>MoSCoW</w:t>
      </w:r>
      <w:proofErr w:type="spellEnd"/>
      <w:r w:rsidR="00987707" w:rsidRPr="00987707">
        <w:rPr>
          <w:rFonts w:ascii="Arial" w:hAnsi="Arial" w:cs="Arial"/>
        </w:rPr>
        <w:t xml:space="preserve"> Prioritization Matrix in </w:t>
      </w:r>
      <w:r w:rsidR="00987707" w:rsidRPr="00B313D1">
        <w:rPr>
          <w:rFonts w:ascii="Arial" w:hAnsi="Arial" w:cs="Arial"/>
          <w:b/>
          <w:bCs/>
        </w:rPr>
        <w:t>Appendix A.</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Pr="002D0490" w:rsidRDefault="0061300F" w:rsidP="00233C16">
      <w:pPr>
        <w:tabs>
          <w:tab w:val="left" w:pos="810"/>
        </w:tabs>
        <w:spacing w:line="360" w:lineRule="auto"/>
        <w:ind w:left="720"/>
        <w:jc w:val="both"/>
        <w:rPr>
          <w:rFonts w:ascii="Arial" w:hAnsi="Arial" w:cs="Arial"/>
        </w:rPr>
      </w:pPr>
    </w:p>
    <w:p w14:paraId="1706138E" w14:textId="77777777" w:rsidR="00A7116F" w:rsidRPr="00A7116F" w:rsidRDefault="00A7116F"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816E72">
      <w:pPr>
        <w:pStyle w:val="ListParagraph"/>
        <w:numPr>
          <w:ilvl w:val="1"/>
          <w:numId w:val="52"/>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943712" w:rsidRDefault="00943712" w:rsidP="00816E72">
      <w:pPr>
        <w:pStyle w:val="ListParagraph"/>
        <w:numPr>
          <w:ilvl w:val="1"/>
          <w:numId w:val="52"/>
        </w:numPr>
        <w:tabs>
          <w:tab w:val="left" w:pos="0"/>
        </w:tabs>
        <w:spacing w:line="360" w:lineRule="auto"/>
        <w:ind w:firstLine="0"/>
        <w:jc w:val="both"/>
        <w:rPr>
          <w:rFonts w:ascii="Arial" w:hAnsi="Arial" w:cs="Arial"/>
        </w:rPr>
      </w:pPr>
      <w:hyperlink r:id="rId8" w:history="1">
        <w:r w:rsidRPr="00943712">
          <w:rPr>
            <w:rStyle w:val="Hyperlink"/>
            <w:rFonts w:ascii="Arial" w:hAnsi="Arial" w:cs="Arial"/>
          </w:rPr>
          <w:t xml:space="preserve">Requirements Elicitation Document (dated: </w:t>
        </w:r>
        <w:r w:rsidR="008210E9" w:rsidRPr="008210E9">
          <w:rPr>
            <w:rStyle w:val="Hyperlink"/>
            <w:rFonts w:ascii="Arial" w:hAnsi="Arial" w:cs="Arial"/>
          </w:rPr>
          <w:t xml:space="preserve">03 </w:t>
        </w:r>
        <w:r w:rsidRPr="00943712">
          <w:rPr>
            <w:rStyle w:val="Hyperlink"/>
            <w:rFonts w:ascii="Arial" w:hAnsi="Arial" w:cs="Arial"/>
          </w:rPr>
          <w:t>May 2025)</w:t>
        </w:r>
      </w:hyperlink>
    </w:p>
    <w:p w14:paraId="46DEC932" w14:textId="5DFB2D55" w:rsidR="008210E9" w:rsidRPr="00943712" w:rsidRDefault="008210E9" w:rsidP="00816E72">
      <w:pPr>
        <w:pStyle w:val="ListParagraph"/>
        <w:numPr>
          <w:ilvl w:val="1"/>
          <w:numId w:val="52"/>
        </w:numPr>
        <w:tabs>
          <w:tab w:val="left" w:pos="0"/>
        </w:tabs>
        <w:spacing w:line="360" w:lineRule="auto"/>
        <w:ind w:firstLine="0"/>
        <w:jc w:val="both"/>
        <w:rPr>
          <w:rFonts w:ascii="Arial" w:hAnsi="Arial" w:cs="Arial"/>
        </w:rPr>
      </w:pPr>
      <w:hyperlink r:id="rId9" w:history="1">
        <w:r w:rsidRPr="00943712">
          <w:rPr>
            <w:rStyle w:val="Hyperlink"/>
            <w:rFonts w:ascii="Arial" w:hAnsi="Arial" w:cs="Arial"/>
          </w:rPr>
          <w:t>Stakeholder Interview Summaries</w:t>
        </w:r>
        <w:r w:rsidRPr="008210E9">
          <w:rPr>
            <w:rStyle w:val="Hyperlink"/>
            <w:rFonts w:ascii="Arial" w:hAnsi="Arial" w:cs="Arial"/>
          </w:rPr>
          <w:t xml:space="preserve"> (dated: 05 May 2025)</w:t>
        </w:r>
      </w:hyperlink>
    </w:p>
    <w:p w14:paraId="0A215E0B" w14:textId="5BBA5E21" w:rsidR="00943712" w:rsidRDefault="00943712" w:rsidP="00816E72">
      <w:pPr>
        <w:pStyle w:val="ListParagraph"/>
        <w:numPr>
          <w:ilvl w:val="1"/>
          <w:numId w:val="52"/>
        </w:numPr>
        <w:tabs>
          <w:tab w:val="left" w:pos="0"/>
        </w:tabs>
        <w:spacing w:line="360" w:lineRule="auto"/>
        <w:ind w:firstLine="0"/>
        <w:jc w:val="both"/>
        <w:rPr>
          <w:rFonts w:ascii="Arial" w:hAnsi="Arial" w:cs="Arial"/>
        </w:rPr>
      </w:pPr>
      <w:r w:rsidRPr="00943712">
        <w:rPr>
          <w:rFonts w:ascii="Arial" w:hAnsi="Arial" w:cs="Arial"/>
        </w:rPr>
        <w:t xml:space="preserve">Appendix A: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5FBC4D8C" w:rsidR="001A2236" w:rsidRPr="00943712" w:rsidRDefault="001A2236" w:rsidP="00816E72">
      <w:pPr>
        <w:pStyle w:val="ListParagraph"/>
        <w:numPr>
          <w:ilvl w:val="1"/>
          <w:numId w:val="52"/>
        </w:numPr>
        <w:tabs>
          <w:tab w:val="left" w:pos="0"/>
        </w:tabs>
        <w:spacing w:line="360" w:lineRule="auto"/>
        <w:ind w:firstLine="0"/>
        <w:jc w:val="both"/>
        <w:rPr>
          <w:rFonts w:ascii="Arial" w:hAnsi="Arial" w:cs="Arial"/>
        </w:rPr>
      </w:pPr>
      <w:r>
        <w:rPr>
          <w:rFonts w:ascii="Arial" w:hAnsi="Arial" w:cs="Arial"/>
        </w:rPr>
        <w:t>Appendix B: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77777777" w:rsidR="00943712" w:rsidRPr="002C2A4E" w:rsidRDefault="00943712" w:rsidP="00A648CE">
            <w:pPr>
              <w:tabs>
                <w:tab w:val="left" w:pos="0"/>
              </w:tabs>
              <w:jc w:val="both"/>
              <w:rPr>
                <w:rFonts w:ascii="Arial" w:hAnsi="Arial" w:cs="Arial"/>
                <w:b w:val="0"/>
                <w:bCs w:val="0"/>
              </w:rPr>
            </w:pPr>
            <w:r w:rsidRPr="002C2A4E">
              <w:rPr>
                <w:rFonts w:ascii="Arial" w:hAnsi="Arial" w:cs="Arial"/>
                <w:b w:val="0"/>
                <w:bCs w:val="0"/>
              </w:rPr>
              <w:t>BRD Approval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77777777" w:rsidR="00943712" w:rsidRPr="002C2A4E" w:rsidRDefault="00943712" w:rsidP="00A648CE">
            <w:pPr>
              <w:tabs>
                <w:tab w:val="left" w:pos="0"/>
              </w:tabs>
              <w:jc w:val="both"/>
              <w:rPr>
                <w:rFonts w:ascii="Arial" w:hAnsi="Arial" w:cs="Arial"/>
                <w:b w:val="0"/>
                <w:bCs w:val="0"/>
              </w:rPr>
            </w:pPr>
            <w:r w:rsidRPr="002C2A4E">
              <w:rPr>
                <w:rFonts w:ascii="Arial" w:hAnsi="Arial" w:cs="Arial"/>
                <w:b w:val="0"/>
                <w:bCs w:val="0"/>
              </w:rPr>
              <w:t>System Design Completion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77777777" w:rsidR="00943712" w:rsidRPr="002C2A4E" w:rsidRDefault="00943712" w:rsidP="00A648CE">
            <w:pPr>
              <w:tabs>
                <w:tab w:val="left" w:pos="0"/>
              </w:tabs>
              <w:jc w:val="both"/>
              <w:rPr>
                <w:rFonts w:ascii="Arial" w:hAnsi="Arial" w:cs="Arial"/>
                <w:b w:val="0"/>
                <w:bCs w:val="0"/>
              </w:rPr>
            </w:pPr>
            <w:r w:rsidRPr="002C2A4E">
              <w:rPr>
                <w:rFonts w:ascii="Arial" w:hAnsi="Arial" w:cs="Arial"/>
                <w:b w:val="0"/>
                <w:bCs w:val="0"/>
              </w:rPr>
              <w:t>Development Start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7777777" w:rsidR="00943712" w:rsidRPr="002C2A4E" w:rsidRDefault="00943712" w:rsidP="00A648CE">
            <w:pPr>
              <w:tabs>
                <w:tab w:val="left" w:pos="0"/>
              </w:tabs>
              <w:jc w:val="both"/>
              <w:rPr>
                <w:rFonts w:ascii="Arial" w:hAnsi="Arial" w:cs="Arial"/>
                <w:b w:val="0"/>
                <w:bCs w:val="0"/>
              </w:rPr>
            </w:pPr>
            <w:r w:rsidRPr="002C2A4E">
              <w:rPr>
                <w:rFonts w:ascii="Arial" w:hAnsi="Arial" w:cs="Arial"/>
                <w:b w:val="0"/>
                <w:bCs w:val="0"/>
              </w:rPr>
              <w:t>User 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77777777" w:rsidR="00943712" w:rsidRPr="002C2A4E" w:rsidRDefault="00943712" w:rsidP="00A648CE">
            <w:pPr>
              <w:tabs>
                <w:tab w:val="left" w:pos="0"/>
              </w:tabs>
              <w:jc w:val="both"/>
              <w:rPr>
                <w:rFonts w:ascii="Arial" w:hAnsi="Arial" w:cs="Arial"/>
                <w:b w:val="0"/>
                <w:bCs w:val="0"/>
              </w:rPr>
            </w:pPr>
            <w:r w:rsidRPr="002C2A4E">
              <w:rPr>
                <w:rFonts w:ascii="Arial" w:hAnsi="Arial" w:cs="Arial"/>
                <w:b w:val="0"/>
                <w:bC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DA3D66">
        <w:tc>
          <w:tcPr>
            <w:tcW w:w="6974" w:type="dxa"/>
            <w:shd w:val="clear" w:color="auto" w:fill="C0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MUST HAVE</w:t>
            </w:r>
          </w:p>
        </w:tc>
        <w:tc>
          <w:tcPr>
            <w:tcW w:w="6974" w:type="dxa"/>
            <w:shd w:val="clear" w:color="auto" w:fill="70AD47" w:themeFill="accent6"/>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 xml:space="preserve">SHOULD </w:t>
            </w:r>
            <w:r>
              <w:rPr>
                <w:rFonts w:ascii="Arial" w:hAnsi="Arial" w:cs="Arial"/>
                <w:b/>
                <w:bCs/>
                <w:sz w:val="28"/>
                <w:szCs w:val="28"/>
              </w:rPr>
              <w:t>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xml:space="preserve">, </w:t>
            </w:r>
            <w:r w:rsidRPr="0025201A">
              <w:rPr>
                <w:rFonts w:ascii="Arial" w:hAnsi="Arial" w:cs="Arial"/>
              </w:rPr>
              <w:t>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w:t>
            </w:r>
            <w:r>
              <w:rPr>
                <w:rFonts w:ascii="Arial" w:hAnsi="Arial" w:cs="Arial"/>
                <w:b/>
                <w:bCs/>
              </w:rPr>
              <w:t xml:space="preserve"> </w:t>
            </w:r>
            <w:r w:rsidRPr="0038231E">
              <w:rPr>
                <w:rFonts w:ascii="Arial" w:hAnsi="Arial" w:cs="Arial"/>
              </w:rPr>
              <w:t>Academic Staff,</w:t>
            </w:r>
            <w:r w:rsidRPr="0038231E">
              <w:rPr>
                <w:rFonts w:ascii="Arial" w:hAnsi="Arial" w:cs="Arial"/>
              </w:rPr>
              <w:t xml:space="preserve">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DA3D66">
        <w:tc>
          <w:tcPr>
            <w:tcW w:w="6974" w:type="dxa"/>
            <w:shd w:val="clear" w:color="auto" w:fill="FFC000"/>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000000" w:themeFill="text1"/>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w:t>
            </w:r>
            <w:r w:rsidRPr="00676BEE">
              <w:rPr>
                <w:rFonts w:ascii="Arial" w:hAnsi="Arial" w:cs="Arial"/>
              </w:rPr>
              <w:t xml:space="preserve">, </w:t>
            </w:r>
            <w:r w:rsidRPr="00676BEE">
              <w:rPr>
                <w:rFonts w:ascii="Arial" w:hAnsi="Arial" w:cs="Arial"/>
              </w:rPr>
              <w:t>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15E7163A"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A1: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P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sectPr w:rsidR="006D19AA" w:rsidRPr="006D19AA" w:rsidSect="009430BC">
      <w:headerReference w:type="first" r:id="rId12"/>
      <w:footerReference w:type="first" r:id="rId13"/>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039D9" w14:textId="77777777" w:rsidR="00BD42E1" w:rsidRDefault="00BD42E1" w:rsidP="00CD0F45">
      <w:pPr>
        <w:spacing w:after="0" w:line="240" w:lineRule="auto"/>
      </w:pPr>
      <w:r>
        <w:separator/>
      </w:r>
    </w:p>
  </w:endnote>
  <w:endnote w:type="continuationSeparator" w:id="0">
    <w:p w14:paraId="06D08659" w14:textId="77777777" w:rsidR="00BD42E1" w:rsidRDefault="00BD42E1"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B53A0" w14:textId="77777777" w:rsidR="00BD42E1" w:rsidRDefault="00BD42E1" w:rsidP="00CD0F45">
      <w:pPr>
        <w:spacing w:after="0" w:line="240" w:lineRule="auto"/>
      </w:pPr>
      <w:r>
        <w:separator/>
      </w:r>
    </w:p>
  </w:footnote>
  <w:footnote w:type="continuationSeparator" w:id="0">
    <w:p w14:paraId="2D368556" w14:textId="77777777" w:rsidR="00BD42E1" w:rsidRDefault="00BD42E1"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1"/>
  </w:num>
  <w:num w:numId="2" w16cid:durableId="926117157">
    <w:abstractNumId w:val="29"/>
  </w:num>
  <w:num w:numId="3" w16cid:durableId="529219178">
    <w:abstractNumId w:val="32"/>
  </w:num>
  <w:num w:numId="4" w16cid:durableId="1388184799">
    <w:abstractNumId w:val="22"/>
  </w:num>
  <w:num w:numId="5" w16cid:durableId="132598697">
    <w:abstractNumId w:val="45"/>
  </w:num>
  <w:num w:numId="6" w16cid:durableId="61024830">
    <w:abstractNumId w:val="30"/>
  </w:num>
  <w:num w:numId="7" w16cid:durableId="922302567">
    <w:abstractNumId w:val="9"/>
  </w:num>
  <w:num w:numId="8" w16cid:durableId="1773940477">
    <w:abstractNumId w:val="52"/>
  </w:num>
  <w:num w:numId="9" w16cid:durableId="348482887">
    <w:abstractNumId w:val="2"/>
  </w:num>
  <w:num w:numId="10" w16cid:durableId="1860705416">
    <w:abstractNumId w:val="14"/>
  </w:num>
  <w:num w:numId="11" w16cid:durableId="2126996383">
    <w:abstractNumId w:val="26"/>
  </w:num>
  <w:num w:numId="12" w16cid:durableId="2084637451">
    <w:abstractNumId w:val="16"/>
  </w:num>
  <w:num w:numId="13" w16cid:durableId="773287470">
    <w:abstractNumId w:val="11"/>
  </w:num>
  <w:num w:numId="14" w16cid:durableId="778447659">
    <w:abstractNumId w:val="40"/>
  </w:num>
  <w:num w:numId="15" w16cid:durableId="1958029070">
    <w:abstractNumId w:val="43"/>
  </w:num>
  <w:num w:numId="16" w16cid:durableId="483358826">
    <w:abstractNumId w:val="8"/>
  </w:num>
  <w:num w:numId="17" w16cid:durableId="1767262221">
    <w:abstractNumId w:val="51"/>
  </w:num>
  <w:num w:numId="18" w16cid:durableId="288510722">
    <w:abstractNumId w:val="24"/>
  </w:num>
  <w:num w:numId="19" w16cid:durableId="1900624996">
    <w:abstractNumId w:val="5"/>
  </w:num>
  <w:num w:numId="20" w16cid:durableId="1581720276">
    <w:abstractNumId w:val="56"/>
  </w:num>
  <w:num w:numId="21" w16cid:durableId="1273588952">
    <w:abstractNumId w:val="39"/>
  </w:num>
  <w:num w:numId="22" w16cid:durableId="2073236847">
    <w:abstractNumId w:val="44"/>
  </w:num>
  <w:num w:numId="23" w16cid:durableId="1031999561">
    <w:abstractNumId w:val="37"/>
  </w:num>
  <w:num w:numId="24" w16cid:durableId="614604886">
    <w:abstractNumId w:val="10"/>
  </w:num>
  <w:num w:numId="25" w16cid:durableId="228465790">
    <w:abstractNumId w:val="28"/>
  </w:num>
  <w:num w:numId="26" w16cid:durableId="2017001478">
    <w:abstractNumId w:val="4"/>
  </w:num>
  <w:num w:numId="27" w16cid:durableId="838083092">
    <w:abstractNumId w:val="46"/>
  </w:num>
  <w:num w:numId="28" w16cid:durableId="88626750">
    <w:abstractNumId w:val="19"/>
  </w:num>
  <w:num w:numId="29" w16cid:durableId="1508715085">
    <w:abstractNumId w:val="49"/>
  </w:num>
  <w:num w:numId="30" w16cid:durableId="1971594141">
    <w:abstractNumId w:val="59"/>
  </w:num>
  <w:num w:numId="31" w16cid:durableId="1357079680">
    <w:abstractNumId w:val="53"/>
  </w:num>
  <w:num w:numId="32" w16cid:durableId="270628802">
    <w:abstractNumId w:val="15"/>
  </w:num>
  <w:num w:numId="33" w16cid:durableId="605159691">
    <w:abstractNumId w:val="25"/>
  </w:num>
  <w:num w:numId="34" w16cid:durableId="393430641">
    <w:abstractNumId w:val="23"/>
  </w:num>
  <w:num w:numId="35" w16cid:durableId="1778863183">
    <w:abstractNumId w:val="35"/>
  </w:num>
  <w:num w:numId="36" w16cid:durableId="1231960501">
    <w:abstractNumId w:val="50"/>
  </w:num>
  <w:num w:numId="37" w16cid:durableId="722948895">
    <w:abstractNumId w:val="17"/>
  </w:num>
  <w:num w:numId="38" w16cid:durableId="2134981849">
    <w:abstractNumId w:val="6"/>
  </w:num>
  <w:num w:numId="39" w16cid:durableId="1688211074">
    <w:abstractNumId w:val="54"/>
  </w:num>
  <w:num w:numId="40" w16cid:durableId="549109">
    <w:abstractNumId w:val="41"/>
  </w:num>
  <w:num w:numId="41" w16cid:durableId="1108349465">
    <w:abstractNumId w:val="27"/>
  </w:num>
  <w:num w:numId="42" w16cid:durableId="1067458329">
    <w:abstractNumId w:val="18"/>
  </w:num>
  <w:num w:numId="43" w16cid:durableId="1136798255">
    <w:abstractNumId w:val="31"/>
  </w:num>
  <w:num w:numId="44" w16cid:durableId="102189204">
    <w:abstractNumId w:val="34"/>
  </w:num>
  <w:num w:numId="45" w16cid:durableId="1305886956">
    <w:abstractNumId w:val="47"/>
  </w:num>
  <w:num w:numId="46" w16cid:durableId="1358389854">
    <w:abstractNumId w:val="36"/>
  </w:num>
  <w:num w:numId="47" w16cid:durableId="855341546">
    <w:abstractNumId w:val="0"/>
  </w:num>
  <w:num w:numId="48" w16cid:durableId="992759867">
    <w:abstractNumId w:val="57"/>
  </w:num>
  <w:num w:numId="49" w16cid:durableId="519051693">
    <w:abstractNumId w:val="20"/>
  </w:num>
  <w:num w:numId="50" w16cid:durableId="1065371452">
    <w:abstractNumId w:val="33"/>
  </w:num>
  <w:num w:numId="51" w16cid:durableId="788402872">
    <w:abstractNumId w:val="42"/>
  </w:num>
  <w:num w:numId="52" w16cid:durableId="715281669">
    <w:abstractNumId w:val="38"/>
  </w:num>
  <w:num w:numId="53" w16cid:durableId="874342879">
    <w:abstractNumId w:val="60"/>
  </w:num>
  <w:num w:numId="54" w16cid:durableId="1802110996">
    <w:abstractNumId w:val="1"/>
  </w:num>
  <w:num w:numId="55" w16cid:durableId="956181611">
    <w:abstractNumId w:val="12"/>
  </w:num>
  <w:num w:numId="56" w16cid:durableId="1519656764">
    <w:abstractNumId w:val="48"/>
  </w:num>
  <w:num w:numId="57" w16cid:durableId="2116093787">
    <w:abstractNumId w:val="7"/>
  </w:num>
  <w:num w:numId="58" w16cid:durableId="1910967842">
    <w:abstractNumId w:val="13"/>
  </w:num>
  <w:num w:numId="59" w16cid:durableId="76488430">
    <w:abstractNumId w:val="58"/>
  </w:num>
  <w:num w:numId="60" w16cid:durableId="772627522">
    <w:abstractNumId w:val="55"/>
  </w:num>
  <w:num w:numId="61" w16cid:durableId="1616136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42D4D"/>
    <w:rsid w:val="00060AEE"/>
    <w:rsid w:val="00064580"/>
    <w:rsid w:val="00070866"/>
    <w:rsid w:val="00081431"/>
    <w:rsid w:val="0008568D"/>
    <w:rsid w:val="00092204"/>
    <w:rsid w:val="000950D4"/>
    <w:rsid w:val="00095284"/>
    <w:rsid w:val="00097230"/>
    <w:rsid w:val="000A0F53"/>
    <w:rsid w:val="000A50EE"/>
    <w:rsid w:val="000B5C57"/>
    <w:rsid w:val="000D4470"/>
    <w:rsid w:val="000D44B1"/>
    <w:rsid w:val="000E6D51"/>
    <w:rsid w:val="000F1C6F"/>
    <w:rsid w:val="000F65DF"/>
    <w:rsid w:val="00106155"/>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A2236"/>
    <w:rsid w:val="001A27F8"/>
    <w:rsid w:val="001A55ED"/>
    <w:rsid w:val="001A7929"/>
    <w:rsid w:val="001B5776"/>
    <w:rsid w:val="001B6A52"/>
    <w:rsid w:val="001C089E"/>
    <w:rsid w:val="001C3E36"/>
    <w:rsid w:val="001D32B8"/>
    <w:rsid w:val="001D4781"/>
    <w:rsid w:val="001D5208"/>
    <w:rsid w:val="001E6B91"/>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F0D70"/>
    <w:rsid w:val="002F38CA"/>
    <w:rsid w:val="002F7FEE"/>
    <w:rsid w:val="0030068F"/>
    <w:rsid w:val="00310A84"/>
    <w:rsid w:val="003144D2"/>
    <w:rsid w:val="00315001"/>
    <w:rsid w:val="00326779"/>
    <w:rsid w:val="003337DB"/>
    <w:rsid w:val="003338AA"/>
    <w:rsid w:val="00336439"/>
    <w:rsid w:val="0033669A"/>
    <w:rsid w:val="00361209"/>
    <w:rsid w:val="0038231E"/>
    <w:rsid w:val="003975DA"/>
    <w:rsid w:val="003A0248"/>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7E62"/>
    <w:rsid w:val="004F11BB"/>
    <w:rsid w:val="004F5CFD"/>
    <w:rsid w:val="00502B11"/>
    <w:rsid w:val="0051193F"/>
    <w:rsid w:val="00512A09"/>
    <w:rsid w:val="0051543E"/>
    <w:rsid w:val="005170EA"/>
    <w:rsid w:val="00517625"/>
    <w:rsid w:val="00524729"/>
    <w:rsid w:val="00533685"/>
    <w:rsid w:val="00547C75"/>
    <w:rsid w:val="00552D03"/>
    <w:rsid w:val="0055447F"/>
    <w:rsid w:val="00556A51"/>
    <w:rsid w:val="005626E0"/>
    <w:rsid w:val="00581AD0"/>
    <w:rsid w:val="00581C6E"/>
    <w:rsid w:val="005836DC"/>
    <w:rsid w:val="00584089"/>
    <w:rsid w:val="00587003"/>
    <w:rsid w:val="00594B13"/>
    <w:rsid w:val="005A1F5D"/>
    <w:rsid w:val="005A29FD"/>
    <w:rsid w:val="005B0599"/>
    <w:rsid w:val="005C6031"/>
    <w:rsid w:val="005D10AE"/>
    <w:rsid w:val="005D13A5"/>
    <w:rsid w:val="005D4A64"/>
    <w:rsid w:val="005E0021"/>
    <w:rsid w:val="005E140E"/>
    <w:rsid w:val="005E66B7"/>
    <w:rsid w:val="005F006F"/>
    <w:rsid w:val="005F3EEF"/>
    <w:rsid w:val="005F4506"/>
    <w:rsid w:val="005F509F"/>
    <w:rsid w:val="00606E13"/>
    <w:rsid w:val="00611AAD"/>
    <w:rsid w:val="0061300F"/>
    <w:rsid w:val="0061574D"/>
    <w:rsid w:val="006174B6"/>
    <w:rsid w:val="0062296A"/>
    <w:rsid w:val="00625FF2"/>
    <w:rsid w:val="00633F38"/>
    <w:rsid w:val="006379BF"/>
    <w:rsid w:val="00640BCA"/>
    <w:rsid w:val="00641315"/>
    <w:rsid w:val="00642AA4"/>
    <w:rsid w:val="006504D8"/>
    <w:rsid w:val="006537E2"/>
    <w:rsid w:val="00653CD3"/>
    <w:rsid w:val="00674E30"/>
    <w:rsid w:val="00675D4B"/>
    <w:rsid w:val="00676BEE"/>
    <w:rsid w:val="00684AF7"/>
    <w:rsid w:val="00687687"/>
    <w:rsid w:val="006A043B"/>
    <w:rsid w:val="006A502A"/>
    <w:rsid w:val="006B406D"/>
    <w:rsid w:val="006B7138"/>
    <w:rsid w:val="006C4769"/>
    <w:rsid w:val="006D19AA"/>
    <w:rsid w:val="006D5982"/>
    <w:rsid w:val="00700900"/>
    <w:rsid w:val="0070149D"/>
    <w:rsid w:val="00715B4B"/>
    <w:rsid w:val="00717E90"/>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D438C"/>
    <w:rsid w:val="007E1C5B"/>
    <w:rsid w:val="007F027D"/>
    <w:rsid w:val="00815C1F"/>
    <w:rsid w:val="00816E72"/>
    <w:rsid w:val="008210C8"/>
    <w:rsid w:val="008210E9"/>
    <w:rsid w:val="008216E3"/>
    <w:rsid w:val="00832E9C"/>
    <w:rsid w:val="008337CA"/>
    <w:rsid w:val="008366C4"/>
    <w:rsid w:val="00840147"/>
    <w:rsid w:val="008617A2"/>
    <w:rsid w:val="00892A9F"/>
    <w:rsid w:val="008A0041"/>
    <w:rsid w:val="008A0F42"/>
    <w:rsid w:val="008A702B"/>
    <w:rsid w:val="008C0C52"/>
    <w:rsid w:val="008C126C"/>
    <w:rsid w:val="008D1111"/>
    <w:rsid w:val="008D2FFB"/>
    <w:rsid w:val="008D5A6F"/>
    <w:rsid w:val="008E43A7"/>
    <w:rsid w:val="00915F50"/>
    <w:rsid w:val="009164B9"/>
    <w:rsid w:val="00920E25"/>
    <w:rsid w:val="009258C8"/>
    <w:rsid w:val="00941348"/>
    <w:rsid w:val="009430BC"/>
    <w:rsid w:val="00943712"/>
    <w:rsid w:val="00943D5E"/>
    <w:rsid w:val="009531C8"/>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5CD3"/>
    <w:rsid w:val="00A77047"/>
    <w:rsid w:val="00A841F1"/>
    <w:rsid w:val="00A863CE"/>
    <w:rsid w:val="00A94EC7"/>
    <w:rsid w:val="00A977F8"/>
    <w:rsid w:val="00AB31FB"/>
    <w:rsid w:val="00AD0C3A"/>
    <w:rsid w:val="00AE0A88"/>
    <w:rsid w:val="00AE7567"/>
    <w:rsid w:val="00B02876"/>
    <w:rsid w:val="00B04E05"/>
    <w:rsid w:val="00B0559C"/>
    <w:rsid w:val="00B1254C"/>
    <w:rsid w:val="00B313D1"/>
    <w:rsid w:val="00B36FDB"/>
    <w:rsid w:val="00B414D6"/>
    <w:rsid w:val="00B41564"/>
    <w:rsid w:val="00B506D6"/>
    <w:rsid w:val="00B72C62"/>
    <w:rsid w:val="00BA15A7"/>
    <w:rsid w:val="00BB18F0"/>
    <w:rsid w:val="00BD19F5"/>
    <w:rsid w:val="00BD42E1"/>
    <w:rsid w:val="00BE6CC1"/>
    <w:rsid w:val="00BF0EA3"/>
    <w:rsid w:val="00BF2249"/>
    <w:rsid w:val="00BF2562"/>
    <w:rsid w:val="00BF4CD1"/>
    <w:rsid w:val="00BF5DB4"/>
    <w:rsid w:val="00BF6E35"/>
    <w:rsid w:val="00C078A6"/>
    <w:rsid w:val="00C11205"/>
    <w:rsid w:val="00C258F3"/>
    <w:rsid w:val="00C359BA"/>
    <w:rsid w:val="00C35B5C"/>
    <w:rsid w:val="00C522F6"/>
    <w:rsid w:val="00C52D1C"/>
    <w:rsid w:val="00C619D1"/>
    <w:rsid w:val="00C67B9D"/>
    <w:rsid w:val="00C757AB"/>
    <w:rsid w:val="00C83069"/>
    <w:rsid w:val="00C83D39"/>
    <w:rsid w:val="00C87548"/>
    <w:rsid w:val="00C90C6B"/>
    <w:rsid w:val="00C92194"/>
    <w:rsid w:val="00CB617F"/>
    <w:rsid w:val="00CC4072"/>
    <w:rsid w:val="00CD0F45"/>
    <w:rsid w:val="00CD1DEC"/>
    <w:rsid w:val="00CE7104"/>
    <w:rsid w:val="00CF079C"/>
    <w:rsid w:val="00D02CE3"/>
    <w:rsid w:val="00D115E7"/>
    <w:rsid w:val="00D3068C"/>
    <w:rsid w:val="00D32C3C"/>
    <w:rsid w:val="00D41600"/>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5998"/>
    <w:rsid w:val="00DC6170"/>
    <w:rsid w:val="00DC6A18"/>
    <w:rsid w:val="00DE4F21"/>
    <w:rsid w:val="00DE543F"/>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B05E4"/>
    <w:rsid w:val="00EB4203"/>
    <w:rsid w:val="00EB47CA"/>
    <w:rsid w:val="00EB5411"/>
    <w:rsid w:val="00EB7167"/>
    <w:rsid w:val="00EC3B28"/>
    <w:rsid w:val="00ED0E5B"/>
    <w:rsid w:val="00ED269B"/>
    <w:rsid w:val="00ED2981"/>
    <w:rsid w:val="00ED5206"/>
    <w:rsid w:val="00EF3E2C"/>
    <w:rsid w:val="00EF5C7F"/>
    <w:rsid w:val="00F136DF"/>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C2116"/>
    <w:rsid w:val="004D28FB"/>
    <w:rsid w:val="004E2139"/>
    <w:rsid w:val="00511296"/>
    <w:rsid w:val="005A5692"/>
    <w:rsid w:val="005F3EEF"/>
    <w:rsid w:val="0061242D"/>
    <w:rsid w:val="006F4A14"/>
    <w:rsid w:val="00786E27"/>
    <w:rsid w:val="007B4100"/>
    <w:rsid w:val="00872776"/>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9</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895</cp:revision>
  <dcterms:created xsi:type="dcterms:W3CDTF">2025-05-02T03:04:00Z</dcterms:created>
  <dcterms:modified xsi:type="dcterms:W3CDTF">2025-05-12T04:36:00Z</dcterms:modified>
</cp:coreProperties>
</file>