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968E14" w14:textId="77777777" w:rsidR="009B3B6F" w:rsidRPr="009B3B6F" w:rsidRDefault="009B3B6F" w:rsidP="009B3B6F">
      <w:p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9B3B6F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Which of the following are true statements? Select all that apply.</w:t>
      </w:r>
    </w:p>
    <w:p w14:paraId="29D5412D" w14:textId="4E7853AD" w:rsidR="009B3B6F" w:rsidRPr="009B3B6F" w:rsidRDefault="009B3B6F" w:rsidP="009B3B6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9B3B6F">
        <w:rPr>
          <w:rFonts w:ascii="Arial" w:eastAsia="Times New Roman" w:hAnsi="Arial" w:cs="Arial"/>
          <w:color w:val="373A3C"/>
          <w:sz w:val="21"/>
          <w:szCs w:val="21"/>
          <w:lang w:eastAsia="en-CA"/>
        </w:rPr>
        <w:object w:dxaOrig="1440" w:dyaOrig="1440" w14:anchorId="36060C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20.4pt;height:18.35pt" o:ole="">
            <v:imagedata r:id="rId4" o:title=""/>
          </v:shape>
          <w:control r:id="rId5" w:name="DefaultOcxName" w:shapeid="_x0000_i1036"/>
        </w:object>
      </w:r>
    </w:p>
    <w:p w14:paraId="75321FC1" w14:textId="502B95AF" w:rsidR="009B3B6F" w:rsidRPr="009B3B6F" w:rsidRDefault="009B3B6F" w:rsidP="009B3B6F">
      <w:p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9B3B6F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To make gradient descent converge, we must slowly decrease </w:t>
      </w:r>
      <w:r w:rsidRPr="009B3B6F">
        <w:rPr>
          <w:rFonts w:ascii="KaTeX_Math" w:eastAsia="Times New Roman" w:hAnsi="KaTeX_Math" w:cs="Times New Roman"/>
          <w:i/>
          <w:iCs/>
          <w:color w:val="373A3C"/>
          <w:sz w:val="25"/>
          <w:szCs w:val="25"/>
          <w:lang w:eastAsia="en-CA"/>
        </w:rPr>
        <w:t>α</w:t>
      </w:r>
      <w:r w:rsidRPr="009B3B6F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 over time.</w:t>
      </w:r>
    </w:p>
    <w:p w14:paraId="57AA72D5" w14:textId="16E34419" w:rsidR="009B3B6F" w:rsidRPr="009B3B6F" w:rsidRDefault="009B3B6F" w:rsidP="009B3B6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9B3B6F">
        <w:rPr>
          <w:rFonts w:ascii="Arial" w:eastAsia="Times New Roman" w:hAnsi="Arial" w:cs="Arial"/>
          <w:color w:val="373A3C"/>
          <w:sz w:val="21"/>
          <w:szCs w:val="21"/>
          <w:lang w:eastAsia="en-CA"/>
        </w:rPr>
        <w:object w:dxaOrig="1440" w:dyaOrig="1440" w14:anchorId="2121DBD6">
          <v:shape id="_x0000_i1035" type="#_x0000_t75" style="width:20.4pt;height:18.35pt" o:ole="">
            <v:imagedata r:id="rId4" o:title=""/>
          </v:shape>
          <w:control r:id="rId6" w:name="DefaultOcxName1" w:shapeid="_x0000_i1035"/>
        </w:object>
      </w:r>
    </w:p>
    <w:p w14:paraId="41042B8C" w14:textId="605C64A4" w:rsidR="009B3B6F" w:rsidRPr="009B3B6F" w:rsidRDefault="009B3B6F" w:rsidP="009B3B6F">
      <w:p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9B3B6F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Gradient descent is guaranteed to find the global minimum for any function </w:t>
      </w:r>
      <w:r w:rsidRPr="009B3B6F">
        <w:rPr>
          <w:rFonts w:ascii="KaTeX_Math" w:eastAsia="Times New Roman" w:hAnsi="KaTeX_Math" w:cs="Times New Roman"/>
          <w:i/>
          <w:iCs/>
          <w:color w:val="373A3C"/>
          <w:sz w:val="25"/>
          <w:szCs w:val="25"/>
          <w:lang w:eastAsia="en-CA"/>
        </w:rPr>
        <w:t>J</w:t>
      </w:r>
      <w:r w:rsidRPr="009B3B6F">
        <w:rPr>
          <w:rFonts w:ascii="Times New Roman" w:eastAsia="Times New Roman" w:hAnsi="Times New Roman" w:cs="Times New Roman"/>
          <w:color w:val="373A3C"/>
          <w:sz w:val="25"/>
          <w:szCs w:val="25"/>
          <w:lang w:eastAsia="en-CA"/>
        </w:rPr>
        <w:t>(</w:t>
      </w:r>
      <w:r w:rsidRPr="009B3B6F">
        <w:rPr>
          <w:rFonts w:ascii="KaTeX_Math" w:eastAsia="Times New Roman" w:hAnsi="KaTeX_Math" w:cs="Times New Roman"/>
          <w:i/>
          <w:iCs/>
          <w:color w:val="373A3C"/>
          <w:sz w:val="25"/>
          <w:szCs w:val="25"/>
          <w:lang w:eastAsia="en-CA"/>
        </w:rPr>
        <w:t>θ</w:t>
      </w:r>
      <w:r w:rsidRPr="009B3B6F">
        <w:rPr>
          <w:rFonts w:ascii="Times New Roman" w:eastAsia="Times New Roman" w:hAnsi="Times New Roman" w:cs="Times New Roman"/>
          <w:color w:val="373A3C"/>
          <w:sz w:val="18"/>
          <w:szCs w:val="18"/>
          <w:lang w:eastAsia="en-CA"/>
        </w:rPr>
        <w:t>0</w:t>
      </w:r>
      <w:proofErr w:type="gramStart"/>
      <w:r w:rsidRPr="009B3B6F">
        <w:rPr>
          <w:rFonts w:ascii="Times New Roman" w:eastAsia="Times New Roman" w:hAnsi="Times New Roman" w:cs="Times New Roman"/>
          <w:color w:val="373A3C"/>
          <w:sz w:val="2"/>
          <w:szCs w:val="2"/>
          <w:lang w:eastAsia="en-CA"/>
        </w:rPr>
        <w:t>​</w:t>
      </w:r>
      <w:r w:rsidRPr="009B3B6F">
        <w:rPr>
          <w:rFonts w:ascii="Times New Roman" w:eastAsia="Times New Roman" w:hAnsi="Times New Roman" w:cs="Times New Roman"/>
          <w:color w:val="373A3C"/>
          <w:sz w:val="25"/>
          <w:szCs w:val="25"/>
          <w:lang w:eastAsia="en-CA"/>
        </w:rPr>
        <w:t>,</w:t>
      </w:r>
      <w:r w:rsidRPr="009B3B6F">
        <w:rPr>
          <w:rFonts w:ascii="KaTeX_Math" w:eastAsia="Times New Roman" w:hAnsi="KaTeX_Math" w:cs="Times New Roman"/>
          <w:i/>
          <w:iCs/>
          <w:color w:val="373A3C"/>
          <w:sz w:val="25"/>
          <w:szCs w:val="25"/>
          <w:lang w:eastAsia="en-CA"/>
        </w:rPr>
        <w:t>θ</w:t>
      </w:r>
      <w:proofErr w:type="gramEnd"/>
      <w:r w:rsidRPr="009B3B6F">
        <w:rPr>
          <w:rFonts w:ascii="Times New Roman" w:eastAsia="Times New Roman" w:hAnsi="Times New Roman" w:cs="Times New Roman"/>
          <w:color w:val="373A3C"/>
          <w:sz w:val="18"/>
          <w:szCs w:val="18"/>
          <w:lang w:eastAsia="en-CA"/>
        </w:rPr>
        <w:t>1</w:t>
      </w:r>
      <w:r w:rsidRPr="009B3B6F">
        <w:rPr>
          <w:rFonts w:ascii="Times New Roman" w:eastAsia="Times New Roman" w:hAnsi="Times New Roman" w:cs="Times New Roman"/>
          <w:color w:val="373A3C"/>
          <w:sz w:val="2"/>
          <w:szCs w:val="2"/>
          <w:lang w:eastAsia="en-CA"/>
        </w:rPr>
        <w:t>​</w:t>
      </w:r>
      <w:r w:rsidRPr="009B3B6F">
        <w:rPr>
          <w:rFonts w:ascii="Times New Roman" w:eastAsia="Times New Roman" w:hAnsi="Times New Roman" w:cs="Times New Roman"/>
          <w:color w:val="373A3C"/>
          <w:sz w:val="25"/>
          <w:szCs w:val="25"/>
          <w:lang w:eastAsia="en-CA"/>
        </w:rPr>
        <w:t>)</w:t>
      </w:r>
      <w:r w:rsidRPr="009B3B6F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.</w:t>
      </w:r>
    </w:p>
    <w:p w14:paraId="3047B334" w14:textId="5AF26D24" w:rsidR="009B3B6F" w:rsidRPr="009B3B6F" w:rsidRDefault="009B3B6F" w:rsidP="009B3B6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9B3B6F">
        <w:rPr>
          <w:rFonts w:ascii="Arial" w:eastAsia="Times New Roman" w:hAnsi="Arial" w:cs="Arial"/>
          <w:color w:val="373A3C"/>
          <w:sz w:val="21"/>
          <w:szCs w:val="21"/>
          <w:lang w:eastAsia="en-CA"/>
        </w:rPr>
        <w:object w:dxaOrig="1440" w:dyaOrig="1440" w14:anchorId="2AFB6C0C">
          <v:shape id="_x0000_i1034" type="#_x0000_t75" style="width:20.4pt;height:18.35pt" o:ole="">
            <v:imagedata r:id="rId7" o:title=""/>
          </v:shape>
          <w:control r:id="rId8" w:name="DefaultOcxName2" w:shapeid="_x0000_i1034"/>
        </w:object>
      </w:r>
    </w:p>
    <w:p w14:paraId="49B28DC2" w14:textId="59E53629" w:rsidR="009B3B6F" w:rsidRPr="009B3B6F" w:rsidRDefault="009B3B6F" w:rsidP="009B3B6F">
      <w:p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9B3B6F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Gradient descent can converge even if </w:t>
      </w:r>
      <w:r w:rsidRPr="009B3B6F">
        <w:rPr>
          <w:rFonts w:ascii="KaTeX_Math" w:eastAsia="Times New Roman" w:hAnsi="KaTeX_Math" w:cs="Times New Roman"/>
          <w:i/>
          <w:iCs/>
          <w:color w:val="373A3C"/>
          <w:sz w:val="25"/>
          <w:szCs w:val="25"/>
          <w:lang w:eastAsia="en-CA"/>
        </w:rPr>
        <w:t>α</w:t>
      </w:r>
      <w:r w:rsidRPr="009B3B6F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 is kept fixed. (But</w:t>
      </w:r>
      <w:r>
        <w:rPr>
          <w:rFonts w:ascii="Arial" w:eastAsia="Times New Roman" w:hAnsi="Arial" w:cs="Arial"/>
          <w:color w:val="373A3C"/>
          <w:sz w:val="21"/>
          <w:szCs w:val="21"/>
          <w:lang w:eastAsia="en-CA"/>
        </w:rPr>
        <w:t xml:space="preserve"> </w:t>
      </w:r>
      <w:r w:rsidRPr="009B3B6F">
        <w:rPr>
          <w:rFonts w:ascii="KaTeX_Math" w:eastAsia="Times New Roman" w:hAnsi="KaTeX_Math" w:cs="Times New Roman"/>
          <w:i/>
          <w:iCs/>
          <w:color w:val="373A3C"/>
          <w:sz w:val="25"/>
          <w:szCs w:val="25"/>
          <w:lang w:eastAsia="en-CA"/>
        </w:rPr>
        <w:t>α</w:t>
      </w:r>
      <w:r w:rsidRPr="009B3B6F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 cannot be too large, or else it may fail to converge.)</w:t>
      </w:r>
    </w:p>
    <w:p w14:paraId="1565FD70" w14:textId="7B4C709A" w:rsidR="009B3B6F" w:rsidRPr="009B3B6F" w:rsidRDefault="009B3B6F" w:rsidP="009B3B6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9B3B6F">
        <w:rPr>
          <w:rFonts w:ascii="Arial" w:eastAsia="Times New Roman" w:hAnsi="Arial" w:cs="Arial"/>
          <w:color w:val="373A3C"/>
          <w:sz w:val="21"/>
          <w:szCs w:val="21"/>
          <w:lang w:eastAsia="en-CA"/>
        </w:rPr>
        <w:object w:dxaOrig="1440" w:dyaOrig="1440" w14:anchorId="0A6CD0E5">
          <v:shape id="_x0000_i1033" type="#_x0000_t75" style="width:20.4pt;height:18.35pt" o:ole="">
            <v:imagedata r:id="rId7" o:title=""/>
          </v:shape>
          <w:control r:id="rId9" w:name="DefaultOcxName3" w:shapeid="_x0000_i1033"/>
        </w:object>
      </w:r>
    </w:p>
    <w:p w14:paraId="04B85D26" w14:textId="7D0973FA" w:rsidR="009B3B6F" w:rsidRPr="009B3B6F" w:rsidRDefault="009B3B6F" w:rsidP="009B3B6F">
      <w:p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9B3B6F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For the specific choice of cost function </w:t>
      </w:r>
      <w:bookmarkStart w:id="0" w:name="_GoBack"/>
      <w:bookmarkEnd w:id="0"/>
      <w:r w:rsidRPr="009B3B6F">
        <w:rPr>
          <w:rFonts w:ascii="KaTeX_Math" w:eastAsia="Times New Roman" w:hAnsi="KaTeX_Math" w:cs="Times New Roman"/>
          <w:i/>
          <w:iCs/>
          <w:color w:val="373A3C"/>
          <w:sz w:val="25"/>
          <w:szCs w:val="25"/>
          <w:lang w:eastAsia="en-CA"/>
        </w:rPr>
        <w:t>J</w:t>
      </w:r>
      <w:r w:rsidRPr="009B3B6F">
        <w:rPr>
          <w:rFonts w:ascii="Times New Roman" w:eastAsia="Times New Roman" w:hAnsi="Times New Roman" w:cs="Times New Roman"/>
          <w:color w:val="373A3C"/>
          <w:sz w:val="25"/>
          <w:szCs w:val="25"/>
          <w:lang w:eastAsia="en-CA"/>
        </w:rPr>
        <w:t>(</w:t>
      </w:r>
      <w:r w:rsidRPr="009B3B6F">
        <w:rPr>
          <w:rFonts w:ascii="KaTeX_Math" w:eastAsia="Times New Roman" w:hAnsi="KaTeX_Math" w:cs="Times New Roman"/>
          <w:i/>
          <w:iCs/>
          <w:color w:val="373A3C"/>
          <w:sz w:val="25"/>
          <w:szCs w:val="25"/>
          <w:lang w:eastAsia="en-CA"/>
        </w:rPr>
        <w:t>θ</w:t>
      </w:r>
      <w:r w:rsidRPr="009B3B6F">
        <w:rPr>
          <w:rFonts w:ascii="Times New Roman" w:eastAsia="Times New Roman" w:hAnsi="Times New Roman" w:cs="Times New Roman"/>
          <w:color w:val="373A3C"/>
          <w:sz w:val="18"/>
          <w:szCs w:val="18"/>
          <w:lang w:eastAsia="en-CA"/>
        </w:rPr>
        <w:t>0</w:t>
      </w:r>
      <w:r w:rsidRPr="009B3B6F">
        <w:rPr>
          <w:rFonts w:ascii="Times New Roman" w:eastAsia="Times New Roman" w:hAnsi="Times New Roman" w:cs="Times New Roman"/>
          <w:color w:val="373A3C"/>
          <w:sz w:val="2"/>
          <w:szCs w:val="2"/>
          <w:lang w:eastAsia="en-CA"/>
        </w:rPr>
        <w:t>​</w:t>
      </w:r>
      <w:r w:rsidRPr="009B3B6F">
        <w:rPr>
          <w:rFonts w:ascii="Times New Roman" w:eastAsia="Times New Roman" w:hAnsi="Times New Roman" w:cs="Times New Roman"/>
          <w:color w:val="373A3C"/>
          <w:sz w:val="25"/>
          <w:szCs w:val="25"/>
          <w:lang w:eastAsia="en-CA"/>
        </w:rPr>
        <w:t>,</w:t>
      </w:r>
      <w:r w:rsidRPr="009B3B6F">
        <w:rPr>
          <w:rFonts w:ascii="KaTeX_Math" w:eastAsia="Times New Roman" w:hAnsi="KaTeX_Math" w:cs="Times New Roman"/>
          <w:i/>
          <w:iCs/>
          <w:color w:val="373A3C"/>
          <w:sz w:val="25"/>
          <w:szCs w:val="25"/>
          <w:lang w:eastAsia="en-CA"/>
        </w:rPr>
        <w:t>θ</w:t>
      </w:r>
      <w:r w:rsidRPr="009B3B6F">
        <w:rPr>
          <w:rFonts w:ascii="Times New Roman" w:eastAsia="Times New Roman" w:hAnsi="Times New Roman" w:cs="Times New Roman"/>
          <w:color w:val="373A3C"/>
          <w:sz w:val="18"/>
          <w:szCs w:val="18"/>
          <w:lang w:eastAsia="en-CA"/>
        </w:rPr>
        <w:t>1</w:t>
      </w:r>
      <w:r w:rsidRPr="009B3B6F">
        <w:rPr>
          <w:rFonts w:ascii="Times New Roman" w:eastAsia="Times New Roman" w:hAnsi="Times New Roman" w:cs="Times New Roman"/>
          <w:color w:val="373A3C"/>
          <w:sz w:val="2"/>
          <w:szCs w:val="2"/>
          <w:lang w:eastAsia="en-CA"/>
        </w:rPr>
        <w:t>​</w:t>
      </w:r>
      <w:r w:rsidRPr="009B3B6F">
        <w:rPr>
          <w:rFonts w:ascii="Times New Roman" w:eastAsia="Times New Roman" w:hAnsi="Times New Roman" w:cs="Times New Roman"/>
          <w:color w:val="373A3C"/>
          <w:sz w:val="25"/>
          <w:szCs w:val="25"/>
          <w:lang w:eastAsia="en-CA"/>
        </w:rPr>
        <w:t>)</w:t>
      </w:r>
      <w:r w:rsidRPr="009B3B6F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 used in linear regression, there are no local optima (other than the global optimum).</w:t>
      </w:r>
    </w:p>
    <w:p w14:paraId="230228AB" w14:textId="7F336BBC" w:rsidR="00A40665" w:rsidRDefault="00A40665"/>
    <w:sectPr w:rsidR="00A406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4F4"/>
    <w:rsid w:val="009B3B6F"/>
    <w:rsid w:val="00A40665"/>
    <w:rsid w:val="00DE1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EFEEB"/>
  <w15:chartTrackingRefBased/>
  <w15:docId w15:val="{C161FEA8-FB39-4EED-9601-8AD42466D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3B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katex-mathml">
    <w:name w:val="katex-mathml"/>
    <w:basedOn w:val="DefaultParagraphFont"/>
    <w:rsid w:val="009B3B6F"/>
  </w:style>
  <w:style w:type="character" w:customStyle="1" w:styleId="mord">
    <w:name w:val="mord"/>
    <w:basedOn w:val="DefaultParagraphFont"/>
    <w:rsid w:val="009B3B6F"/>
  </w:style>
  <w:style w:type="character" w:customStyle="1" w:styleId="mopen">
    <w:name w:val="mopen"/>
    <w:basedOn w:val="DefaultParagraphFont"/>
    <w:rsid w:val="009B3B6F"/>
  </w:style>
  <w:style w:type="character" w:customStyle="1" w:styleId="vlist-s">
    <w:name w:val="vlist-s"/>
    <w:basedOn w:val="DefaultParagraphFont"/>
    <w:rsid w:val="009B3B6F"/>
  </w:style>
  <w:style w:type="character" w:customStyle="1" w:styleId="mpunct">
    <w:name w:val="mpunct"/>
    <w:basedOn w:val="DefaultParagraphFont"/>
    <w:rsid w:val="009B3B6F"/>
  </w:style>
  <w:style w:type="character" w:customStyle="1" w:styleId="mclose">
    <w:name w:val="mclose"/>
    <w:basedOn w:val="DefaultParagraphFont"/>
    <w:rsid w:val="009B3B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617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3921">
          <w:marLeft w:val="0"/>
          <w:marRight w:val="0"/>
          <w:marTop w:val="0"/>
          <w:marBottom w:val="3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45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86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735674">
                  <w:marLeft w:val="0"/>
                  <w:marRight w:val="0"/>
                  <w:marTop w:val="27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03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2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221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17723072">
                  <w:marLeft w:val="0"/>
                  <w:marRight w:val="0"/>
                  <w:marTop w:val="0"/>
                  <w:marBottom w:val="3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90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949869">
                  <w:marLeft w:val="0"/>
                  <w:marRight w:val="0"/>
                  <w:marTop w:val="27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51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11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9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51287502">
                  <w:marLeft w:val="0"/>
                  <w:marRight w:val="0"/>
                  <w:marTop w:val="0"/>
                  <w:marBottom w:val="3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94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5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525106">
                  <w:marLeft w:val="0"/>
                  <w:marRight w:val="0"/>
                  <w:marTop w:val="27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40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175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25207611">
                  <w:marLeft w:val="0"/>
                  <w:marRight w:val="0"/>
                  <w:marTop w:val="0"/>
                  <w:marBottom w:val="3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76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85061">
                  <w:marLeft w:val="0"/>
                  <w:marRight w:val="0"/>
                  <w:marTop w:val="27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85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12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76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ntrol" Target="activeX/activeX2.xml"/><Relationship Id="rId11" Type="http://schemas.openxmlformats.org/officeDocument/2006/relationships/theme" Target="theme/theme1.xml"/><Relationship Id="rId5" Type="http://schemas.openxmlformats.org/officeDocument/2006/relationships/control" Target="activeX/activeX1.xml"/><Relationship Id="rId10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control" Target="activeX/activeX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2</cp:revision>
  <dcterms:created xsi:type="dcterms:W3CDTF">2019-01-24T16:09:00Z</dcterms:created>
  <dcterms:modified xsi:type="dcterms:W3CDTF">2019-01-24T16:09:00Z</dcterms:modified>
</cp:coreProperties>
</file>