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single" w:color="auto" w:sz="4"/>
          <w:insideV w:val="single" w:color="auto" w:sz="4"/>
        </w:tblBorders>
      </w:tblPr>
      <w:tblGrid>
        <w:gridCol w:w="900"/>
        <w:gridCol w:w="8460"/>
      </w:tblGrid>
      <w:tr>
        <w:tc>
          <w:tcPr>
            <w:tcW w:type="dxa" w:w="900"/>
            <w:vAlign w:val="center"/>
          </w:tcPr>
          <w:p>
            <w:pPr>
              <w:spacing w:after="0" w:before="0"/>
              <w:jc w:val="center"/>
            </w:pPr>
            <w:r>
              <w:drawing>
                <wp:inline distT="0" distB="0" distL="0" distR="0">
                  <wp:extent cx="619125"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 cy="619125"/>
                          </a:xfrm>
                          <a:prstGeom prst="rect">
                            <a:avLst/>
                          </a:prstGeom>
                        </pic:spPr>
                      </pic:pic>
                    </a:graphicData>
                  </a:graphic>
                </wp:inline>
              </w:drawing>
            </w:r>
          </w:p>
        </w:tc>
        <w:tc>
          <w:tcPr>
            <w:tcW w:type="dxa" w:w="8460"/>
            <w:vAlign w:val="center"/>
          </w:tcPr>
          <w:p>
            <w:pPr>
              <w:spacing w:after="40" w:before="0"/>
            </w:pPr>
            <w:r>
              <w:rPr>
                <w:rFonts w:ascii="Arial" w:cs="Arial" w:eastAsia="Arial" w:hAnsi="Arial"/>
                <w:b/>
                <w:bCs/>
                <w:color w:val="1A5C36"/>
                <w:sz w:val="40"/>
                <w:szCs w:val="40"/>
              </w:rPr>
              <w:t xml:space="preserve">AgroDoc AI</w:t>
            </w:r>
          </w:p>
          <w:p>
            <w:pPr>
              <w:spacing w:after="40" w:before="0"/>
            </w:pPr>
            <w:r>
              <w:rPr>
                <w:rFonts w:ascii="Arial" w:cs="Arial" w:eastAsia="Arial" w:hAnsi="Arial"/>
                <w:i/>
                <w:iCs/>
                <w:color w:val="6B7280"/>
                <w:sz w:val="18"/>
                <w:szCs w:val="18"/>
              </w:rPr>
              <w:t xml:space="preserve">Your Farm. Our Doctor.</w:t>
            </w:r>
          </w:p>
          <w:p>
            <w:pPr>
              <w:spacing w:after="20" w:before="0"/>
            </w:pPr>
            <w:r>
              <w:rPr>
                <w:rFonts w:ascii="Arial" w:cs="Arial" w:eastAsia="Arial" w:hAnsi="Arial"/>
                <w:b/>
                <w:bCs/>
                <w:color w:val="0B2A1A"/>
                <w:sz w:val="24"/>
                <w:szCs w:val="24"/>
              </w:rPr>
              <w:t xml:space="preserve">Grant Application — AI-Powered Agricultural Advisory Platform</w:t>
            </w:r>
          </w:p>
          <w:p>
            <w:pPr>
              <w:spacing w:after="0" w:before="0"/>
            </w:pPr>
            <w:r>
              <w:rPr>
                <w:rFonts w:ascii="Arial" w:cs="Arial" w:eastAsia="Arial" w:hAnsi="Arial"/>
                <w:i/>
                <w:iCs/>
                <w:color w:val="888888"/>
                <w:sz w:val="18"/>
                <w:szCs w:val="18"/>
              </w:rPr>
              <w:t xml:space="preserve">Submitted to: IITA / Bill &amp; Melinda Gates Foundation  |  April 2026  |  Lead Applicant: Adegbegi Martins Maxwell</w:t>
            </w:r>
          </w:p>
        </w:tc>
      </w:tr>
    </w:tbl>
    <w:p>
      <w:pPr>
        <w:pBdr>
          <w:bottom w:val="single" w:color="D0E8D8" w:sz="6"/>
        </w:pBdr>
        <w:spacing w:after="140" w:before="140"/>
      </w:pPr>
    </w:p>
    <w:p>
      <w:pPr>
        <w:pStyle w:val="Heading1"/>
        <w:spacing w:after="100" w:before="260"/>
      </w:pPr>
      <w:r>
        <w:rPr>
          <w:rFonts w:ascii="Arial" w:cs="Arial" w:eastAsia="Arial" w:hAnsi="Arial"/>
          <w:b/>
          <w:bCs/>
          <w:color w:val="1A5C36"/>
          <w:sz w:val="30"/>
          <w:szCs w:val="30"/>
        </w:rPr>
        <w:t xml:space="preserve">Project Summary</w:t>
      </w:r>
    </w:p>
    <w:p>
      <w:pPr>
        <w:spacing w:after="70" w:before="70"/>
      </w:pPr>
      <w:r>
        <w:rPr>
          <w:rFonts w:ascii="Arial" w:cs="Arial" w:eastAsia="Arial" w:hAnsi="Arial"/>
          <w:sz w:val="22"/>
          <w:szCs w:val="22"/>
        </w:rPr>
        <w:t xml:space="preserve">AgroDoc AI ("Your Farm. Our Doctor.") is a multilingual, AI-powered farm advisory platform for Nigerian smallholder farmers. Using Claude AI (Anthropic), the platform enables farmers to photograph diseased crops, sick poultry, fish, or livestock and receive instant, actionable diagnoses in English, Nigerian Pidgin, Hausa, Yoruba, or Igbo — via WhatsApp, with no app download required.</w:t>
      </w:r>
    </w:p>
    <w:p>
      <w:pPr>
        <w:spacing w:after="70" w:before="70"/>
      </w:pPr>
      <w:r>
        <w:rPr>
          <w:rFonts w:ascii="Arial" w:cs="Arial" w:eastAsia="Arial" w:hAnsi="Arial"/>
          <w:sz w:val="22"/>
          <w:szCs w:val="22"/>
        </w:rPr>
        <w:t xml:space="preserve">We are applying for grant funding of USD $25,000 to scale the platform from working prototype to 50,000 registered farmers across six Nigerian states within 12 months, while building Africa's first real-time multi-sector farm disease surveillance database covering crops, poultry, fish, and livestock.</w:t>
      </w:r>
    </w:p>
    <w:p>
      <w:pPr>
        <w:pBdr>
          <w:bottom w:val="single" w:color="D0E8D8" w:sz="6"/>
        </w:pBdr>
        <w:spacing w:after="140" w:before="140"/>
      </w:pPr>
    </w:p>
    <w:p>
      <w:pPr>
        <w:pStyle w:val="Heading1"/>
        <w:spacing w:after="100" w:before="260"/>
      </w:pPr>
      <w:r>
        <w:rPr>
          <w:rFonts w:ascii="Arial" w:cs="Arial" w:eastAsia="Arial" w:hAnsi="Arial"/>
          <w:b/>
          <w:bCs/>
          <w:color w:val="1A5C36"/>
          <w:sz w:val="30"/>
          <w:szCs w:val="30"/>
        </w:rPr>
        <w:t xml:space="preserve">Problem Statement</w:t>
      </w:r>
    </w:p>
    <w:p>
      <w:pPr>
        <w:pStyle w:val="ListParagraph"/>
        <w:numPr>
          <w:ilvl w:val="0"/>
          <w:numId w:val="2"/>
        </w:numPr>
        <w:spacing w:after="35" w:before="35"/>
      </w:pPr>
      <w:r>
        <w:rPr>
          <w:rFonts w:ascii="Arial" w:cs="Arial" w:eastAsia="Arial" w:hAnsi="Arial"/>
          <w:sz w:val="22"/>
          <w:szCs w:val="22"/>
        </w:rPr>
        <w:t xml:space="preserve">33 million Nigerians projected to face food insecurity in 2025 (World Food Programme)</w:t>
      </w:r>
    </w:p>
    <w:p>
      <w:pPr>
        <w:pStyle w:val="ListParagraph"/>
        <w:numPr>
          <w:ilvl w:val="0"/>
          <w:numId w:val="2"/>
        </w:numPr>
        <w:spacing w:after="35" w:before="35"/>
      </w:pPr>
      <w:r>
        <w:rPr>
          <w:rFonts w:ascii="Arial" w:cs="Arial" w:eastAsia="Arial" w:hAnsi="Arial"/>
          <w:sz w:val="22"/>
          <w:szCs w:val="22"/>
        </w:rPr>
        <w:t xml:space="preserve">Smallholder farmers produce approximately 80% of Nigeria's food (FAO) yet receive minimal support</w:t>
      </w:r>
    </w:p>
    <w:p>
      <w:pPr>
        <w:pStyle w:val="ListParagraph"/>
        <w:numPr>
          <w:ilvl w:val="0"/>
          <w:numId w:val="2"/>
        </w:numPr>
        <w:spacing w:after="35" w:before="35"/>
      </w:pPr>
      <w:r>
        <w:rPr>
          <w:rFonts w:ascii="Arial" w:cs="Arial" w:eastAsia="Arial" w:hAnsi="Arial"/>
          <w:sz w:val="22"/>
          <w:szCs w:val="22"/>
        </w:rPr>
        <w:t xml:space="preserve">Post-harvest losses of 30–50% occur annually, largely due to undiagnosed crop and livestock disease</w:t>
      </w:r>
    </w:p>
    <w:p>
      <w:pPr>
        <w:pStyle w:val="ListParagraph"/>
        <w:numPr>
          <w:ilvl w:val="0"/>
          <w:numId w:val="2"/>
        </w:numPr>
        <w:spacing w:after="35" w:before="35"/>
      </w:pPr>
      <w:r>
        <w:rPr>
          <w:rFonts w:ascii="Arial" w:cs="Arial" w:eastAsia="Arial" w:hAnsi="Arial"/>
          <w:sz w:val="22"/>
          <w:szCs w:val="22"/>
        </w:rPr>
        <w:t xml:space="preserve">The extension worker to farmer ratio in Nigeria is 1:3,000 — far below the recommended 1:400</w:t>
      </w:r>
    </w:p>
    <w:p>
      <w:pPr>
        <w:pStyle w:val="ListParagraph"/>
        <w:numPr>
          <w:ilvl w:val="0"/>
          <w:numId w:val="2"/>
        </w:numPr>
        <w:spacing w:after="35" w:before="35"/>
      </w:pPr>
      <w:r>
        <w:rPr>
          <w:rFonts w:ascii="Arial" w:cs="Arial" w:eastAsia="Arial" w:hAnsi="Arial"/>
          <w:sz w:val="22"/>
          <w:szCs w:val="22"/>
        </w:rPr>
        <w:t xml:space="preserve">Only 5% of Sub-Saharan African farmers currently access any digital agricultural advisory service</w:t>
      </w:r>
    </w:p>
    <w:p>
      <w:pPr>
        <w:spacing w:after="70" w:before="70"/>
      </w:pPr>
      <w:r>
        <w:rPr>
          <w:rFonts w:ascii="Arial" w:cs="Arial" w:eastAsia="Arial" w:hAnsi="Arial"/>
          <w:sz w:val="22"/>
          <w:szCs w:val="22"/>
        </w:rPr>
        <w:t xml:space="preserve"/>
      </w:r>
    </w:p>
    <w:p>
      <w:pPr>
        <w:spacing w:after="70" w:before="70"/>
      </w:pPr>
      <w:r>
        <w:rPr>
          <w:rFonts w:ascii="Arial" w:cs="Arial" w:eastAsia="Arial" w:hAnsi="Arial"/>
          <w:sz w:val="22"/>
          <w:szCs w:val="22"/>
        </w:rPr>
        <w:t xml:space="preserve">When farmers cannot identify what is killing their crops, birds, or fish, they lose entire harvests, waste money on wrong treatments, or travel days to find an expert. AgroDoc AI eliminates this gap entirely.</w:t>
      </w:r>
    </w:p>
    <w:p>
      <w:pPr>
        <w:pBdr>
          <w:bottom w:val="single" w:color="D0E8D8" w:sz="6"/>
        </w:pBdr>
        <w:spacing w:after="140" w:before="140"/>
      </w:pPr>
    </w:p>
    <w:p>
      <w:pPr>
        <w:pStyle w:val="Heading1"/>
        <w:spacing w:after="100" w:before="260"/>
      </w:pPr>
      <w:r>
        <w:rPr>
          <w:rFonts w:ascii="Arial" w:cs="Arial" w:eastAsia="Arial" w:hAnsi="Arial"/>
          <w:b/>
          <w:bCs/>
          <w:color w:val="1A5C36"/>
          <w:sz w:val="30"/>
          <w:szCs w:val="30"/>
        </w:rPr>
        <w:t xml:space="preserve">Proposed Solution</w:t>
      </w:r>
    </w:p>
    <w:p>
      <w:pPr>
        <w:spacing w:after="70" w:before="70"/>
      </w:pPr>
      <w:r>
        <w:rPr>
          <w:rFonts w:ascii="Arial" w:cs="Arial" w:eastAsia="Arial" w:hAnsi="Arial"/>
          <w:sz w:val="22"/>
          <w:szCs w:val="22"/>
        </w:rPr>
        <w:t xml:space="preserve">AgroDoc AI functions as an always-available AI extension worker accessible through WhatsApp. It is the only farm AI in Nigeria covering all four major farm sectors and all five major Nigerian languages including Pidgin English.</w:t>
      </w:r>
    </w:p>
    <w:p>
      <w:pPr>
        <w:pStyle w:val="Heading2"/>
        <w:spacing w:after="80" w:before="180"/>
      </w:pPr>
      <w:r>
        <w:rPr>
          <w:rFonts w:ascii="Arial" w:cs="Arial" w:eastAsia="Arial" w:hAnsi="Arial"/>
          <w:b/>
          <w:bCs/>
          <w:color w:val="1A5C36"/>
          <w:sz w:val="24"/>
          <w:szCs w:val="24"/>
        </w:rPr>
        <w:t xml:space="preserve">How It Works</w:t>
      </w:r>
    </w:p>
    <w:p>
      <w:pPr>
        <w:pStyle w:val="ListParagraph"/>
        <w:numPr>
          <w:ilvl w:val="0"/>
          <w:numId w:val="3"/>
        </w:numPr>
        <w:spacing w:after="35" w:before="35"/>
      </w:pPr>
      <w:r>
        <w:rPr>
          <w:rFonts w:ascii="Arial" w:cs="Arial" w:eastAsia="Arial" w:hAnsi="Arial"/>
          <w:sz w:val="22"/>
          <w:szCs w:val="22"/>
        </w:rPr>
        <w:t xml:space="preserve">Farmer sends 'hi' to the AgroDoc WhatsApp number — registration takes under 60 seconds (name + farm type)</w:t>
      </w:r>
    </w:p>
    <w:p>
      <w:pPr>
        <w:pStyle w:val="ListParagraph"/>
        <w:numPr>
          <w:ilvl w:val="0"/>
          <w:numId w:val="3"/>
        </w:numPr>
        <w:spacing w:after="35" w:before="35"/>
      </w:pPr>
      <w:r>
        <w:rPr>
          <w:rFonts w:ascii="Arial" w:cs="Arial" w:eastAsia="Arial" w:hAnsi="Arial"/>
          <w:sz w:val="22"/>
          <w:szCs w:val="22"/>
        </w:rPr>
        <w:t xml:space="preserve">Farmer sends a photo or describes symptoms in their language — voice notes accepted</w:t>
      </w:r>
    </w:p>
    <w:p>
      <w:pPr>
        <w:pStyle w:val="ListParagraph"/>
        <w:numPr>
          <w:ilvl w:val="0"/>
          <w:numId w:val="3"/>
        </w:numPr>
        <w:spacing w:after="35" w:before="35"/>
      </w:pPr>
      <w:r>
        <w:rPr>
          <w:rFonts w:ascii="Arial" w:cs="Arial" w:eastAsia="Arial" w:hAnsi="Arial"/>
          <w:sz w:val="22"/>
          <w:szCs w:val="22"/>
        </w:rPr>
        <w:t xml:space="preserve">Claude AI analyses the input and generates a personalised diagnosis with disease name, severity, and cause</w:t>
      </w:r>
    </w:p>
    <w:p>
      <w:pPr>
        <w:pStyle w:val="ListParagraph"/>
        <w:numPr>
          <w:ilvl w:val="0"/>
          <w:numId w:val="3"/>
        </w:numPr>
        <w:spacing w:after="35" w:before="35"/>
      </w:pPr>
      <w:r>
        <w:rPr>
          <w:rFonts w:ascii="Arial" w:cs="Arial" w:eastAsia="Arial" w:hAnsi="Arial"/>
          <w:sz w:val="22"/>
          <w:szCs w:val="22"/>
        </w:rPr>
        <w:t xml:space="preserve">Farmer receives: 4-step treatment plan, recommended local Nigerian product, nearest agro-input shop</w:t>
      </w:r>
    </w:p>
    <w:p>
      <w:pPr>
        <w:pStyle w:val="ListParagraph"/>
        <w:numPr>
          <w:ilvl w:val="0"/>
          <w:numId w:val="3"/>
        </w:numPr>
        <w:spacing w:after="35" w:before="35"/>
      </w:pPr>
      <w:r>
        <w:rPr>
          <w:rFonts w:ascii="Arial" w:cs="Arial" w:eastAsia="Arial" w:hAnsi="Arial"/>
          <w:sz w:val="22"/>
          <w:szCs w:val="22"/>
        </w:rPr>
        <w:t xml:space="preserve">Outbreak data aggregates automatically into Nigeria's first multi-sector disease surveillance map</w:t>
      </w:r>
    </w:p>
    <w:p>
      <w:pPr>
        <w:pStyle w:val="Heading2"/>
        <w:spacing w:after="80" w:before="180"/>
      </w:pPr>
      <w:r>
        <w:rPr>
          <w:rFonts w:ascii="Arial" w:cs="Arial" w:eastAsia="Arial" w:hAnsi="Arial"/>
          <w:b/>
          <w:bCs/>
          <w:color w:val="1A5C36"/>
          <w:sz w:val="24"/>
          <w:szCs w:val="24"/>
        </w:rPr>
        <w:t xml:space="preserve">What Makes AgroDoc AI Unique</w:t>
      </w:r>
    </w:p>
    <w:p>
      <w:pPr>
        <w:pStyle w:val="ListParagraph"/>
        <w:numPr>
          <w:ilvl w:val="0"/>
          <w:numId w:val="2"/>
        </w:numPr>
        <w:spacing w:after="35" w:before="35"/>
      </w:pPr>
      <w:r>
        <w:rPr>
          <w:rFonts w:ascii="Arial" w:cs="Arial" w:eastAsia="Arial" w:hAnsi="Arial"/>
          <w:sz w:val="22"/>
          <w:szCs w:val="22"/>
        </w:rPr>
        <w:t xml:space="preserve">First Nigerian farm AI to cover Crops + Poultry + Fish + Livestock in one platform</w:t>
      </w:r>
    </w:p>
    <w:p>
      <w:pPr>
        <w:pStyle w:val="ListParagraph"/>
        <w:numPr>
          <w:ilvl w:val="0"/>
          <w:numId w:val="2"/>
        </w:numPr>
        <w:spacing w:after="35" w:before="35"/>
      </w:pPr>
      <w:r>
        <w:rPr>
          <w:rFonts w:ascii="Arial" w:cs="Arial" w:eastAsia="Arial" w:hAnsi="Arial"/>
          <w:sz w:val="22"/>
          <w:szCs w:val="22"/>
        </w:rPr>
        <w:t xml:space="preserve">First farm AI to support Nigerian Pidgin English — the most widely spoken daily language</w:t>
      </w:r>
    </w:p>
    <w:p>
      <w:pPr>
        <w:pStyle w:val="ListParagraph"/>
        <w:numPr>
          <w:ilvl w:val="0"/>
          <w:numId w:val="2"/>
        </w:numPr>
        <w:spacing w:after="35" w:before="35"/>
      </w:pPr>
      <w:r>
        <w:rPr>
          <w:rFonts w:ascii="Arial" w:cs="Arial" w:eastAsia="Arial" w:hAnsi="Arial"/>
          <w:sz w:val="22"/>
          <w:szCs w:val="22"/>
        </w:rPr>
        <w:t xml:space="preserve">Farmer registration flow — every farmer identified by name and farm type for personalised care</w:t>
      </w:r>
    </w:p>
    <w:p>
      <w:pPr>
        <w:pStyle w:val="ListParagraph"/>
        <w:numPr>
          <w:ilvl w:val="0"/>
          <w:numId w:val="2"/>
        </w:numPr>
        <w:spacing w:after="35" w:before="35"/>
      </w:pPr>
      <w:r>
        <w:rPr>
          <w:rFonts w:ascii="Arial" w:cs="Arial" w:eastAsia="Arial" w:hAnsi="Arial"/>
          <w:sz w:val="22"/>
          <w:szCs w:val="22"/>
        </w:rPr>
        <w:t xml:space="preserve">Offline-capable: 30 common disease profiles cached and functional without internet</w:t>
      </w:r>
    </w:p>
    <w:p>
      <w:pPr>
        <w:pStyle w:val="ListParagraph"/>
        <w:numPr>
          <w:ilvl w:val="0"/>
          <w:numId w:val="2"/>
        </w:numPr>
        <w:spacing w:after="35" w:before="35"/>
      </w:pPr>
      <w:r>
        <w:rPr>
          <w:rFonts w:ascii="Arial" w:cs="Arial" w:eastAsia="Arial" w:hAnsi="Arial"/>
          <w:sz w:val="22"/>
          <w:szCs w:val="22"/>
        </w:rPr>
        <w:t xml:space="preserve">19 security loopholes fixed — NDPR 2019 compliant, audit log, validated feedback loop</w:t>
      </w:r>
    </w:p>
    <w:p>
      <w:pPr>
        <w:pBdr>
          <w:bottom w:val="single" w:color="D0E8D8" w:sz="6"/>
        </w:pBdr>
        <w:spacing w:after="140" w:before="140"/>
      </w:pPr>
    </w:p>
    <w:p>
      <w:pPr>
        <w:pStyle w:val="Heading1"/>
        <w:spacing w:after="100" w:before="260"/>
      </w:pPr>
      <w:r>
        <w:rPr>
          <w:rFonts w:ascii="Arial" w:cs="Arial" w:eastAsia="Arial" w:hAnsi="Arial"/>
          <w:b/>
          <w:bCs/>
          <w:color w:val="1A5C36"/>
          <w:sz w:val="30"/>
          <w:szCs w:val="30"/>
        </w:rPr>
        <w:t xml:space="preserve">Budget &amp; Fund Utilisation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1872"/>
        <w:gridCol w:w="1872"/>
      </w:tblGrid>
      <w:tr>
        <w:trPr>
          <w:tblHeader/>
        </w:trPr>
        <w:tc>
          <w:tcPr>
            <w:tcW w:type="dxa" w:w="5616"/>
            <w:shd w:fill="1A5C36" w:color="1A5C36" w:val="clear"/>
          </w:tcPr>
          <w:p>
            <w:pPr>
              <w:spacing w:after="70" w:before="70"/>
              <w:jc w:val="center"/>
            </w:pPr>
            <w:r>
              <w:rPr>
                <w:rFonts w:ascii="Arial" w:cs="Arial" w:eastAsia="Arial" w:hAnsi="Arial"/>
                <w:b/>
                <w:bCs/>
                <w:color w:val="FFFFFF"/>
                <w:sz w:val="20"/>
                <w:szCs w:val="20"/>
              </w:rPr>
              <w:t xml:space="preserve">Budget Line</w:t>
            </w:r>
          </w:p>
        </w:tc>
        <w:tc>
          <w:tcPr>
            <w:tcW w:type="dxa" w:w="1872"/>
            <w:shd w:fill="1A5C36" w:color="1A5C36" w:val="clear"/>
          </w:tcPr>
          <w:p>
            <w:pPr>
              <w:spacing w:after="70" w:before="70"/>
              <w:jc w:val="center"/>
            </w:pPr>
            <w:r>
              <w:rPr>
                <w:rFonts w:ascii="Arial" w:cs="Arial" w:eastAsia="Arial" w:hAnsi="Arial"/>
                <w:b/>
                <w:bCs/>
                <w:color w:val="FFFFFF"/>
                <w:sz w:val="20"/>
                <w:szCs w:val="20"/>
              </w:rPr>
              <w:t xml:space="preserve">Amount (USD)</w:t>
            </w:r>
          </w:p>
        </w:tc>
        <w:tc>
          <w:tcPr>
            <w:tcW w:type="dxa" w:w="1872"/>
            <w:shd w:fill="1A5C36" w:color="1A5C36" w:val="clear"/>
          </w:tcPr>
          <w:p>
            <w:pPr>
              <w:spacing w:after="70" w:before="70"/>
              <w:jc w:val="center"/>
            </w:pPr>
            <w:r>
              <w:rPr>
                <w:rFonts w:ascii="Arial" w:cs="Arial" w:eastAsia="Arial" w:hAnsi="Arial"/>
                <w:b/>
                <w:bCs/>
                <w:color w:val="FFFFFF"/>
                <w:sz w:val="20"/>
                <w:szCs w:val="20"/>
              </w:rPr>
              <w:t xml:space="preserve">% of Total</w:t>
            </w:r>
          </w:p>
        </w:tc>
      </w:tr>
      <w:tr>
        <w:tc>
          <w:tcPr>
            <w:tcW w:type="dxa" w:w="5616"/>
            <w:shd w:fill="F0F7F2" w:color="F0F7F2" w:val="clear"/>
          </w:tcPr>
          <w:p>
            <w:pPr>
              <w:spacing w:after="60" w:before="60"/>
            </w:pPr>
            <w:r>
              <w:rPr>
                <w:rFonts w:ascii="Arial" w:cs="Arial" w:eastAsia="Arial" w:hAnsi="Arial"/>
                <w:sz w:val="20"/>
                <w:szCs w:val="20"/>
              </w:rPr>
              <w:t xml:space="preserve">AI API costs — Claude Sonnet (50,000 diagnoses/month × 12 months)</w:t>
            </w:r>
          </w:p>
        </w:tc>
        <w:tc>
          <w:tcPr>
            <w:tcW w:type="dxa" w:w="1872"/>
            <w:shd w:fill="FFFFFF" w:color="FFFFFF" w:val="clear"/>
          </w:tcPr>
          <w:p>
            <w:pPr>
              <w:spacing w:after="60" w:before="60"/>
            </w:pPr>
            <w:r>
              <w:rPr>
                <w:rFonts w:ascii="Arial" w:cs="Arial" w:eastAsia="Arial" w:hAnsi="Arial"/>
                <w:sz w:val="20"/>
                <w:szCs w:val="20"/>
              </w:rPr>
              <w:t xml:space="preserve">$7,200</w:t>
            </w:r>
          </w:p>
        </w:tc>
        <w:tc>
          <w:tcPr>
            <w:tcW w:type="dxa" w:w="1872"/>
            <w:shd w:fill="FFFFFF" w:color="FFFFFF" w:val="clear"/>
          </w:tcPr>
          <w:p>
            <w:pPr>
              <w:spacing w:after="60" w:before="60"/>
            </w:pPr>
            <w:r>
              <w:rPr>
                <w:rFonts w:ascii="Arial" w:cs="Arial" w:eastAsia="Arial" w:hAnsi="Arial"/>
                <w:sz w:val="20"/>
                <w:szCs w:val="20"/>
              </w:rPr>
              <w:t xml:space="preserve">29%</w:t>
            </w:r>
          </w:p>
        </w:tc>
      </w:tr>
      <w:tr>
        <w:tc>
          <w:tcPr>
            <w:tcW w:type="dxa" w:w="5616"/>
            <w:shd w:fill="F0F7F2" w:color="F0F7F2" w:val="clear"/>
          </w:tcPr>
          <w:p>
            <w:pPr>
              <w:spacing w:after="60" w:before="60"/>
            </w:pPr>
            <w:r>
              <w:rPr>
                <w:rFonts w:ascii="Arial" w:cs="Arial" w:eastAsia="Arial" w:hAnsi="Arial"/>
                <w:sz w:val="20"/>
                <w:szCs w:val="20"/>
              </w:rPr>
              <w:t xml:space="preserve">WhatsApp Business API setup and messaging infrastructure</w:t>
            </w:r>
          </w:p>
        </w:tc>
        <w:tc>
          <w:tcPr>
            <w:tcW w:type="dxa" w:w="1872"/>
            <w:shd w:fill="F0F7F2" w:color="F0F7F2" w:val="clear"/>
          </w:tcPr>
          <w:p>
            <w:pPr>
              <w:spacing w:after="60" w:before="60"/>
            </w:pPr>
            <w:r>
              <w:rPr>
                <w:rFonts w:ascii="Arial" w:cs="Arial" w:eastAsia="Arial" w:hAnsi="Arial"/>
                <w:sz w:val="20"/>
                <w:szCs w:val="20"/>
              </w:rPr>
              <w:t xml:space="preserve">$2,000</w:t>
            </w:r>
          </w:p>
        </w:tc>
        <w:tc>
          <w:tcPr>
            <w:tcW w:type="dxa" w:w="1872"/>
            <w:shd w:fill="F0F7F2" w:color="F0F7F2" w:val="clear"/>
          </w:tcPr>
          <w:p>
            <w:pPr>
              <w:spacing w:after="60" w:before="60"/>
            </w:pPr>
            <w:r>
              <w:rPr>
                <w:rFonts w:ascii="Arial" w:cs="Arial" w:eastAsia="Arial" w:hAnsi="Arial"/>
                <w:sz w:val="20"/>
                <w:szCs w:val="20"/>
              </w:rPr>
              <w:t xml:space="preserve">8%</w:t>
            </w:r>
          </w:p>
        </w:tc>
      </w:tr>
      <w:tr>
        <w:tc>
          <w:tcPr>
            <w:tcW w:type="dxa" w:w="5616"/>
            <w:shd w:fill="F0F7F2" w:color="F0F7F2" w:val="clear"/>
          </w:tcPr>
          <w:p>
            <w:pPr>
              <w:spacing w:after="60" w:before="60"/>
            </w:pPr>
            <w:r>
              <w:rPr>
                <w:rFonts w:ascii="Arial" w:cs="Arial" w:eastAsia="Arial" w:hAnsi="Arial"/>
                <w:sz w:val="20"/>
                <w:szCs w:val="20"/>
              </w:rPr>
              <w:t xml:space="preserve">Field agent salaries (6 states × 2 agents × 6 months)</w:t>
            </w:r>
          </w:p>
        </w:tc>
        <w:tc>
          <w:tcPr>
            <w:tcW w:type="dxa" w:w="1872"/>
            <w:shd w:fill="FFFFFF" w:color="FFFFFF" w:val="clear"/>
          </w:tcPr>
          <w:p>
            <w:pPr>
              <w:spacing w:after="60" w:before="60"/>
            </w:pPr>
            <w:r>
              <w:rPr>
                <w:rFonts w:ascii="Arial" w:cs="Arial" w:eastAsia="Arial" w:hAnsi="Arial"/>
                <w:sz w:val="20"/>
                <w:szCs w:val="20"/>
              </w:rPr>
              <w:t xml:space="preserve">$9,000</w:t>
            </w:r>
          </w:p>
        </w:tc>
        <w:tc>
          <w:tcPr>
            <w:tcW w:type="dxa" w:w="1872"/>
            <w:shd w:fill="FFFFFF" w:color="FFFFFF" w:val="clear"/>
          </w:tcPr>
          <w:p>
            <w:pPr>
              <w:spacing w:after="60" w:before="60"/>
            </w:pPr>
            <w:r>
              <w:rPr>
                <w:rFonts w:ascii="Arial" w:cs="Arial" w:eastAsia="Arial" w:hAnsi="Arial"/>
                <w:sz w:val="20"/>
                <w:szCs w:val="20"/>
              </w:rPr>
              <w:t xml:space="preserve">36%</w:t>
            </w:r>
          </w:p>
        </w:tc>
      </w:tr>
      <w:tr>
        <w:tc>
          <w:tcPr>
            <w:tcW w:type="dxa" w:w="5616"/>
            <w:shd w:fill="F0F7F2" w:color="F0F7F2" w:val="clear"/>
          </w:tcPr>
          <w:p>
            <w:pPr>
              <w:spacing w:after="60" w:before="60"/>
            </w:pPr>
            <w:r>
              <w:rPr>
                <w:rFonts w:ascii="Arial" w:cs="Arial" w:eastAsia="Arial" w:hAnsi="Arial"/>
                <w:sz w:val="20"/>
                <w:szCs w:val="20"/>
              </w:rPr>
              <w:t xml:space="preserve">Server infrastructure (Render / AWS)</w:t>
            </w:r>
          </w:p>
        </w:tc>
        <w:tc>
          <w:tcPr>
            <w:tcW w:type="dxa" w:w="1872"/>
            <w:shd w:fill="F0F7F2" w:color="F0F7F2" w:val="clear"/>
          </w:tcPr>
          <w:p>
            <w:pPr>
              <w:spacing w:after="60" w:before="60"/>
            </w:pPr>
            <w:r>
              <w:rPr>
                <w:rFonts w:ascii="Arial" w:cs="Arial" w:eastAsia="Arial" w:hAnsi="Arial"/>
                <w:sz w:val="20"/>
                <w:szCs w:val="20"/>
              </w:rPr>
              <w:t xml:space="preserve">$1,200</w:t>
            </w:r>
          </w:p>
        </w:tc>
        <w:tc>
          <w:tcPr>
            <w:tcW w:type="dxa" w:w="1872"/>
            <w:shd w:fill="F0F7F2" w:color="F0F7F2" w:val="clear"/>
          </w:tcPr>
          <w:p>
            <w:pPr>
              <w:spacing w:after="60" w:before="60"/>
            </w:pPr>
            <w:r>
              <w:rPr>
                <w:rFonts w:ascii="Arial" w:cs="Arial" w:eastAsia="Arial" w:hAnsi="Arial"/>
                <w:sz w:val="20"/>
                <w:szCs w:val="20"/>
              </w:rPr>
              <w:t xml:space="preserve">5%</w:t>
            </w:r>
          </w:p>
        </w:tc>
      </w:tr>
      <w:tr>
        <w:tc>
          <w:tcPr>
            <w:tcW w:type="dxa" w:w="5616"/>
            <w:shd w:fill="F0F7F2" w:color="F0F7F2" w:val="clear"/>
          </w:tcPr>
          <w:p>
            <w:pPr>
              <w:spacing w:after="60" w:before="60"/>
            </w:pPr>
            <w:r>
              <w:rPr>
                <w:rFonts w:ascii="Arial" w:cs="Arial" w:eastAsia="Arial" w:hAnsi="Arial"/>
                <w:sz w:val="20"/>
                <w:szCs w:val="20"/>
              </w:rPr>
              <w:t xml:space="preserve">Community onboarding events (farmer demo days, 6 states)</w:t>
            </w:r>
          </w:p>
        </w:tc>
        <w:tc>
          <w:tcPr>
            <w:tcW w:type="dxa" w:w="1872"/>
            <w:shd w:fill="FFFFFF" w:color="FFFFFF" w:val="clear"/>
          </w:tcPr>
          <w:p>
            <w:pPr>
              <w:spacing w:after="60" w:before="60"/>
            </w:pPr>
            <w:r>
              <w:rPr>
                <w:rFonts w:ascii="Arial" w:cs="Arial" w:eastAsia="Arial" w:hAnsi="Arial"/>
                <w:sz w:val="20"/>
                <w:szCs w:val="20"/>
              </w:rPr>
              <w:t xml:space="preserve">$3,000</w:t>
            </w:r>
          </w:p>
        </w:tc>
        <w:tc>
          <w:tcPr>
            <w:tcW w:type="dxa" w:w="1872"/>
            <w:shd w:fill="FFFFFF" w:color="FFFFFF" w:val="clear"/>
          </w:tcPr>
          <w:p>
            <w:pPr>
              <w:spacing w:after="60" w:before="60"/>
            </w:pPr>
            <w:r>
              <w:rPr>
                <w:rFonts w:ascii="Arial" w:cs="Arial" w:eastAsia="Arial" w:hAnsi="Arial"/>
                <w:sz w:val="20"/>
                <w:szCs w:val="20"/>
              </w:rPr>
              <w:t xml:space="preserve">12%</w:t>
            </w:r>
          </w:p>
        </w:tc>
      </w:tr>
      <w:tr>
        <w:tc>
          <w:tcPr>
            <w:tcW w:type="dxa" w:w="5616"/>
            <w:shd w:fill="F0F7F2" w:color="F0F7F2" w:val="clear"/>
          </w:tcPr>
          <w:p>
            <w:pPr>
              <w:spacing w:after="60" w:before="60"/>
            </w:pPr>
            <w:r>
              <w:rPr>
                <w:rFonts w:ascii="Arial" w:cs="Arial" w:eastAsia="Arial" w:hAnsi="Arial"/>
                <w:sz w:val="20"/>
                <w:szCs w:val="20"/>
              </w:rPr>
              <w:t xml:space="preserve">Monitoring, evaluation and reporting</w:t>
            </w:r>
          </w:p>
        </w:tc>
        <w:tc>
          <w:tcPr>
            <w:tcW w:type="dxa" w:w="1872"/>
            <w:shd w:fill="F0F7F2" w:color="F0F7F2" w:val="clear"/>
          </w:tcPr>
          <w:p>
            <w:pPr>
              <w:spacing w:after="60" w:before="60"/>
            </w:pPr>
            <w:r>
              <w:rPr>
                <w:rFonts w:ascii="Arial" w:cs="Arial" w:eastAsia="Arial" w:hAnsi="Arial"/>
                <w:sz w:val="20"/>
                <w:szCs w:val="20"/>
              </w:rPr>
              <w:t xml:space="preserve">$1,500</w:t>
            </w:r>
          </w:p>
        </w:tc>
        <w:tc>
          <w:tcPr>
            <w:tcW w:type="dxa" w:w="1872"/>
            <w:shd w:fill="F0F7F2" w:color="F0F7F2" w:val="clear"/>
          </w:tcPr>
          <w:p>
            <w:pPr>
              <w:spacing w:after="60" w:before="60"/>
            </w:pPr>
            <w:r>
              <w:rPr>
                <w:rFonts w:ascii="Arial" w:cs="Arial" w:eastAsia="Arial" w:hAnsi="Arial"/>
                <w:sz w:val="20"/>
                <w:szCs w:val="20"/>
              </w:rPr>
              <w:t xml:space="preserve">6%</w:t>
            </w:r>
          </w:p>
        </w:tc>
      </w:tr>
      <w:tr>
        <w:tc>
          <w:tcPr>
            <w:tcW w:type="dxa" w:w="5616"/>
            <w:shd w:fill="F0F7F2" w:color="F0F7F2" w:val="clear"/>
          </w:tcPr>
          <w:p>
            <w:pPr>
              <w:spacing w:after="60" w:before="60"/>
            </w:pPr>
            <w:r>
              <w:rPr>
                <w:rFonts w:ascii="Arial" w:cs="Arial" w:eastAsia="Arial" w:hAnsi="Arial"/>
                <w:sz w:val="20"/>
                <w:szCs w:val="20"/>
              </w:rPr>
              <w:t xml:space="preserve">Contingency (10%)</w:t>
            </w:r>
          </w:p>
        </w:tc>
        <w:tc>
          <w:tcPr>
            <w:tcW w:type="dxa" w:w="1872"/>
            <w:shd w:fill="FFFFFF" w:color="FFFFFF" w:val="clear"/>
          </w:tcPr>
          <w:p>
            <w:pPr>
              <w:spacing w:after="60" w:before="60"/>
            </w:pPr>
            <w:r>
              <w:rPr>
                <w:rFonts w:ascii="Arial" w:cs="Arial" w:eastAsia="Arial" w:hAnsi="Arial"/>
                <w:sz w:val="20"/>
                <w:szCs w:val="20"/>
              </w:rPr>
              <w:t xml:space="preserve">$1,100</w:t>
            </w:r>
          </w:p>
        </w:tc>
        <w:tc>
          <w:tcPr>
            <w:tcW w:type="dxa" w:w="1872"/>
            <w:shd w:fill="FFFFFF" w:color="FFFFFF" w:val="clear"/>
          </w:tcPr>
          <w:p>
            <w:pPr>
              <w:spacing w:after="60" w:before="60"/>
            </w:pPr>
            <w:r>
              <w:rPr>
                <w:rFonts w:ascii="Arial" w:cs="Arial" w:eastAsia="Arial" w:hAnsi="Arial"/>
                <w:sz w:val="20"/>
                <w:szCs w:val="20"/>
              </w:rPr>
              <w:t xml:space="preserve">4%</w:t>
            </w:r>
          </w:p>
        </w:tc>
      </w:tr>
      <w:tr>
        <w:tc>
          <w:tcPr>
            <w:tcW w:type="dxa" w:w="5616"/>
            <w:shd w:fill="1A5C36" w:color="1A5C36" w:val="clear"/>
          </w:tcPr>
          <w:p>
            <w:pPr>
              <w:spacing w:after="80" w:before="80"/>
            </w:pPr>
            <w:r>
              <w:rPr>
                <w:rFonts w:ascii="Arial" w:cs="Arial" w:eastAsia="Arial" w:hAnsi="Arial"/>
                <w:b/>
                <w:bCs/>
                <w:color w:val="FFFFFF"/>
                <w:sz w:val="22"/>
                <w:szCs w:val="22"/>
              </w:rPr>
              <w:t xml:space="preserve">TOTAL</w:t>
            </w:r>
          </w:p>
        </w:tc>
        <w:tc>
          <w:tcPr>
            <w:tcW w:type="dxa" w:w="1872"/>
            <w:shd w:fill="1A5C36" w:color="1A5C36" w:val="clear"/>
          </w:tcPr>
          <w:p>
            <w:pPr>
              <w:spacing w:after="80" w:before="80"/>
            </w:pPr>
            <w:r>
              <w:rPr>
                <w:rFonts w:ascii="Arial" w:cs="Arial" w:eastAsia="Arial" w:hAnsi="Arial"/>
                <w:b/>
                <w:bCs/>
                <w:color w:val="FFFFFF"/>
                <w:sz w:val="22"/>
                <w:szCs w:val="22"/>
              </w:rPr>
              <w:t xml:space="preserve">$25,000</w:t>
            </w:r>
          </w:p>
        </w:tc>
        <w:tc>
          <w:tcPr>
            <w:tcW w:type="dxa" w:w="1872"/>
            <w:shd w:fill="1A5C36" w:color="1A5C36" w:val="clear"/>
          </w:tcPr>
          <w:p>
            <w:pPr>
              <w:spacing w:after="80" w:before="80"/>
            </w:pPr>
            <w:r>
              <w:rPr>
                <w:rFonts w:ascii="Arial" w:cs="Arial" w:eastAsia="Arial" w:hAnsi="Arial"/>
                <w:b/>
                <w:bCs/>
                <w:color w:val="FFFFFF"/>
                <w:sz w:val="22"/>
                <w:szCs w:val="22"/>
              </w:rPr>
              <w:t xml:space="preserve">100%</w:t>
            </w:r>
          </w:p>
        </w:tc>
      </w:tr>
    </w:tbl>
    <w:p>
      <w:pPr>
        <w:spacing w:after="70" w:before="70"/>
      </w:pPr>
      <w:r>
        <w:rPr>
          <w:rFonts w:ascii="Arial" w:cs="Arial" w:eastAsia="Arial" w:hAnsi="Arial"/>
          <w:sz w:val="22"/>
          <w:szCs w:val="22"/>
        </w:rPr>
        <w:t xml:space="preserve"/>
      </w:r>
    </w:p>
    <w:p>
      <w:pPr>
        <w:pBdr>
          <w:bottom w:val="single" w:color="D0E8D8" w:sz="6"/>
        </w:pBdr>
        <w:spacing w:after="140" w:before="140"/>
      </w:pPr>
    </w:p>
    <w:p>
      <w:pPr>
        <w:pStyle w:val="Heading1"/>
        <w:spacing w:after="100" w:before="260"/>
      </w:pPr>
      <w:r>
        <w:rPr>
          <w:rFonts w:ascii="Arial" w:cs="Arial" w:eastAsia="Arial" w:hAnsi="Arial"/>
          <w:b/>
          <w:bCs/>
          <w:color w:val="1A5C36"/>
          <w:sz w:val="30"/>
          <w:szCs w:val="30"/>
        </w:rPr>
        <w:t xml:space="preserve">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shd w:fill="1A5C36" w:color="1A5C36" w:val="clear"/>
          </w:tcPr>
          <w:p>
            <w:pPr>
              <w:spacing w:after="70" w:before="70"/>
              <w:jc w:val="center"/>
            </w:pPr>
            <w:r>
              <w:rPr>
                <w:rFonts w:ascii="Arial" w:cs="Arial" w:eastAsia="Arial" w:hAnsi="Arial"/>
                <w:b/>
                <w:bCs/>
                <w:color w:val="FFFFFF"/>
                <w:sz w:val="20"/>
                <w:szCs w:val="20"/>
              </w:rPr>
              <w:t xml:space="preserve">Period</w:t>
            </w:r>
          </w:p>
        </w:tc>
        <w:tc>
          <w:tcPr>
            <w:tcW w:type="dxa" w:w="7488"/>
            <w:shd w:fill="1A5C36" w:color="1A5C36" w:val="clear"/>
          </w:tcPr>
          <w:p>
            <w:pPr>
              <w:spacing w:after="70" w:before="70"/>
              <w:jc w:val="center"/>
            </w:pPr>
            <w:r>
              <w:rPr>
                <w:rFonts w:ascii="Arial" w:cs="Arial" w:eastAsia="Arial" w:hAnsi="Arial"/>
                <w:b/>
                <w:bCs/>
                <w:color w:val="FFFFFF"/>
                <w:sz w:val="20"/>
                <w:szCs w:val="20"/>
              </w:rPr>
              <w:t xml:space="preserve">Milestones</w:t>
            </w:r>
          </w:p>
        </w:tc>
      </w:tr>
      <w:tr>
        <w:tc>
          <w:tcPr>
            <w:tcW w:type="dxa" w:w="1872"/>
            <w:shd w:fill="F0F7F2" w:color="F0F7F2" w:val="clear"/>
          </w:tcPr>
          <w:p>
            <w:pPr>
              <w:spacing w:after="60" w:before="60"/>
            </w:pPr>
            <w:r>
              <w:rPr>
                <w:rFonts w:ascii="Arial" w:cs="Arial" w:eastAsia="Arial" w:hAnsi="Arial"/>
                <w:sz w:val="20"/>
                <w:szCs w:val="20"/>
              </w:rPr>
              <w:t xml:space="preserve">Month 1–2</w:t>
            </w:r>
          </w:p>
        </w:tc>
        <w:tc>
          <w:tcPr>
            <w:tcW w:type="dxa" w:w="7488"/>
            <w:shd w:fill="FFFFFF" w:color="FFFFFF" w:val="clear"/>
          </w:tcPr>
          <w:p>
            <w:pPr>
              <w:spacing w:after="60" w:before="60"/>
            </w:pPr>
            <w:r>
              <w:rPr>
                <w:rFonts w:ascii="Arial" w:cs="Arial" w:eastAsia="Arial" w:hAnsi="Arial"/>
                <w:sz w:val="20"/>
                <w:szCs w:val="20"/>
              </w:rPr>
              <w:t xml:space="preserve">Deploy field agents in 6 states. Onboard first 1,000 registered farmers. Launch WhatsApp bot at scale.</w:t>
            </w:r>
          </w:p>
        </w:tc>
      </w:tr>
      <w:tr>
        <w:tc>
          <w:tcPr>
            <w:tcW w:type="dxa" w:w="1872"/>
            <w:shd w:fill="F0F7F2" w:color="F0F7F2" w:val="clear"/>
          </w:tcPr>
          <w:p>
            <w:pPr>
              <w:spacing w:after="60" w:before="60"/>
            </w:pPr>
            <w:r>
              <w:rPr>
                <w:rFonts w:ascii="Arial" w:cs="Arial" w:eastAsia="Arial" w:hAnsi="Arial"/>
                <w:sz w:val="20"/>
                <w:szCs w:val="20"/>
              </w:rPr>
              <w:t xml:space="preserve">Month 3–4</w:t>
            </w:r>
          </w:p>
        </w:tc>
        <w:tc>
          <w:tcPr>
            <w:tcW w:type="dxa" w:w="7488"/>
            <w:shd w:fill="F0F7F2" w:color="F0F7F2" w:val="clear"/>
          </w:tcPr>
          <w:p>
            <w:pPr>
              <w:spacing w:after="60" w:before="60"/>
            </w:pPr>
            <w:r>
              <w:rPr>
                <w:rFonts w:ascii="Arial" w:cs="Arial" w:eastAsia="Arial" w:hAnsi="Arial"/>
                <w:sz w:val="20"/>
                <w:szCs w:val="20"/>
              </w:rPr>
              <w:t xml:space="preserve">Reach 10,000 registered users. Begin multi-sector outbreak map. First quarterly report.</w:t>
            </w:r>
          </w:p>
        </w:tc>
      </w:tr>
      <w:tr>
        <w:tc>
          <w:tcPr>
            <w:tcW w:type="dxa" w:w="1872"/>
            <w:shd w:fill="F0F7F2" w:color="F0F7F2" w:val="clear"/>
          </w:tcPr>
          <w:p>
            <w:pPr>
              <w:spacing w:after="60" w:before="60"/>
            </w:pPr>
            <w:r>
              <w:rPr>
                <w:rFonts w:ascii="Arial" w:cs="Arial" w:eastAsia="Arial" w:hAnsi="Arial"/>
                <w:sz w:val="20"/>
                <w:szCs w:val="20"/>
              </w:rPr>
              <w:t xml:space="preserve">Month 5–6</w:t>
            </w:r>
          </w:p>
        </w:tc>
        <w:tc>
          <w:tcPr>
            <w:tcW w:type="dxa" w:w="7488"/>
            <w:shd w:fill="FFFFFF" w:color="FFFFFF" w:val="clear"/>
          </w:tcPr>
          <w:p>
            <w:pPr>
              <w:spacing w:after="60" w:before="60"/>
            </w:pPr>
            <w:r>
              <w:rPr>
                <w:rFonts w:ascii="Arial" w:cs="Arial" w:eastAsia="Arial" w:hAnsi="Arial"/>
                <w:sz w:val="20"/>
                <w:szCs w:val="20"/>
              </w:rPr>
              <w:t xml:space="preserve">Onboard 500 agro-dealers and vet extension workers. Partner with 2 state ADP offices.</w:t>
            </w:r>
          </w:p>
        </w:tc>
      </w:tr>
      <w:tr>
        <w:tc>
          <w:tcPr>
            <w:tcW w:type="dxa" w:w="1872"/>
            <w:shd w:fill="F0F7F2" w:color="F0F7F2" w:val="clear"/>
          </w:tcPr>
          <w:p>
            <w:pPr>
              <w:spacing w:after="60" w:before="60"/>
            </w:pPr>
            <w:r>
              <w:rPr>
                <w:rFonts w:ascii="Arial" w:cs="Arial" w:eastAsia="Arial" w:hAnsi="Arial"/>
                <w:sz w:val="20"/>
                <w:szCs w:val="20"/>
              </w:rPr>
              <w:t xml:space="preserve">Month 7–9</w:t>
            </w:r>
          </w:p>
        </w:tc>
        <w:tc>
          <w:tcPr>
            <w:tcW w:type="dxa" w:w="7488"/>
            <w:shd w:fill="F0F7F2" w:color="F0F7F2" w:val="clear"/>
          </w:tcPr>
          <w:p>
            <w:pPr>
              <w:spacing w:after="60" w:before="60"/>
            </w:pPr>
            <w:r>
              <w:rPr>
                <w:rFonts w:ascii="Arial" w:cs="Arial" w:eastAsia="Arial" w:hAnsi="Arial"/>
                <w:sz w:val="20"/>
                <w:szCs w:val="20"/>
              </w:rPr>
              <w:t xml:space="preserve">Reach 30,000 registered farmers. Share anonymised outbreak data with IITA and FMARD.</w:t>
            </w:r>
          </w:p>
        </w:tc>
      </w:tr>
      <w:tr>
        <w:tc>
          <w:tcPr>
            <w:tcW w:type="dxa" w:w="1872"/>
            <w:shd w:fill="F0F7F2" w:color="F0F7F2" w:val="clear"/>
          </w:tcPr>
          <w:p>
            <w:pPr>
              <w:spacing w:after="60" w:before="60"/>
            </w:pPr>
            <w:r>
              <w:rPr>
                <w:rFonts w:ascii="Arial" w:cs="Arial" w:eastAsia="Arial" w:hAnsi="Arial"/>
                <w:sz w:val="20"/>
                <w:szCs w:val="20"/>
              </w:rPr>
              <w:t xml:space="preserve">Month 10–12</w:t>
            </w:r>
          </w:p>
        </w:tc>
        <w:tc>
          <w:tcPr>
            <w:tcW w:type="dxa" w:w="7488"/>
            <w:shd w:fill="FFFFFF" w:color="FFFFFF" w:val="clear"/>
          </w:tcPr>
          <w:p>
            <w:pPr>
              <w:spacing w:after="60" w:before="60"/>
            </w:pPr>
            <w:r>
              <w:rPr>
                <w:rFonts w:ascii="Arial" w:cs="Arial" w:eastAsia="Arial" w:hAnsi="Arial"/>
                <w:sz w:val="20"/>
                <w:szCs w:val="20"/>
              </w:rPr>
              <w:t xml:space="preserve">Reach 50,000 registered farmers. Publish open-access Nigeria Farm Disease Dataset. Final report.</w:t>
            </w:r>
          </w:p>
        </w:tc>
      </w:tr>
    </w:tbl>
    <w:p>
      <w:pPr>
        <w:spacing w:after="70" w:before="70"/>
      </w:pPr>
      <w:r>
        <w:rPr>
          <w:rFonts w:ascii="Arial" w:cs="Arial" w:eastAsia="Arial" w:hAnsi="Arial"/>
          <w:sz w:val="22"/>
          <w:szCs w:val="22"/>
        </w:rPr>
        <w:t xml:space="preserve"/>
      </w:r>
    </w:p>
    <w:p>
      <w:pPr>
        <w:pBdr>
          <w:bottom w:val="single" w:color="D0E8D8" w:sz="6"/>
        </w:pBdr>
        <w:spacing w:after="140" w:before="140"/>
      </w:pPr>
    </w:p>
    <w:p>
      <w:pPr>
        <w:pStyle w:val="Heading1"/>
        <w:spacing w:after="100" w:before="260"/>
      </w:pPr>
      <w:r>
        <w:rPr>
          <w:rFonts w:ascii="Arial" w:cs="Arial" w:eastAsia="Arial" w:hAnsi="Arial"/>
          <w:b/>
          <w:bCs/>
          <w:color w:val="1A5C36"/>
          <w:sz w:val="30"/>
          <w:szCs w:val="30"/>
        </w:rPr>
        <w:t xml:space="preserve">Sustainability Plan</w:t>
      </w:r>
    </w:p>
    <w:p>
      <w:pPr>
        <w:pStyle w:val="ListParagraph"/>
        <w:numPr>
          <w:ilvl w:val="0"/>
          <w:numId w:val="3"/>
        </w:numPr>
        <w:spacing w:after="35" w:before="35"/>
      </w:pPr>
      <w:r>
        <w:rPr>
          <w:rFonts w:ascii="Arial" w:cs="Arial" w:eastAsia="Arial" w:hAnsi="Arial"/>
          <w:sz w:val="22"/>
          <w:szCs w:val="22"/>
        </w:rPr>
        <w:t xml:space="preserve">Sponsored product recommendations — agrochemical and veterinary companies pay ₦500K–₦2M/brand/year</w:t>
      </w:r>
    </w:p>
    <w:p>
      <w:pPr>
        <w:pStyle w:val="ListParagraph"/>
        <w:numPr>
          <w:ilvl w:val="0"/>
          <w:numId w:val="3"/>
        </w:numPr>
        <w:spacing w:after="35" w:before="35"/>
      </w:pPr>
      <w:r>
        <w:rPr>
          <w:rFonts w:ascii="Arial" w:cs="Arial" w:eastAsia="Arial" w:hAnsi="Arial"/>
          <w:sz w:val="22"/>
          <w:szCs w:val="22"/>
        </w:rPr>
        <w:t xml:space="preserve">Agro-dealer and vet subscriptions — ₦3,000–₦5,000/month per professional for advanced Dealer Mode</w:t>
      </w:r>
    </w:p>
    <w:p>
      <w:pPr>
        <w:pStyle w:val="ListParagraph"/>
        <w:numPr>
          <w:ilvl w:val="0"/>
          <w:numId w:val="3"/>
        </w:numPr>
        <w:spacing w:after="35" w:before="35"/>
      </w:pPr>
      <w:r>
        <w:rPr>
          <w:rFonts w:ascii="Arial" w:cs="Arial" w:eastAsia="Arial" w:hAnsi="Arial"/>
          <w:sz w:val="22"/>
          <w:szCs w:val="22"/>
        </w:rPr>
        <w:t xml:space="preserve">Data licensing — anonymised multi-sector outbreak data licensed to research institutions and government</w:t>
      </w:r>
    </w:p>
    <w:p>
      <w:pPr>
        <w:spacing w:after="70" w:before="70"/>
      </w:pPr>
      <w:r>
        <w:rPr>
          <w:rFonts w:ascii="Arial" w:cs="Arial" w:eastAsia="Arial" w:hAnsi="Arial"/>
          <w:sz w:val="22"/>
          <w:szCs w:val="22"/>
        </w:rPr>
        <w:t xml:space="preserve"/>
      </w:r>
    </w:p>
    <w:p>
      <w:pPr>
        <w:spacing w:after="50" w:before="50"/>
      </w:pPr>
      <w:r>
        <w:rPr>
          <w:rFonts w:ascii="Arial" w:cs="Arial" w:eastAsia="Arial" w:hAnsi="Arial"/>
          <w:b/>
          <w:bCs/>
          <w:sz w:val="22"/>
          <w:szCs w:val="22"/>
        </w:rPr>
        <w:t xml:space="preserve">Organisation: </w:t>
      </w:r>
      <w:r>
        <w:rPr>
          <w:rFonts w:ascii="Arial" w:cs="Arial" w:eastAsia="Arial" w:hAnsi="Arial"/>
          <w:sz w:val="22"/>
          <w:szCs w:val="22"/>
        </w:rPr>
        <w:t xml:space="preserve">AgroDoc AI — Your Farm. Our Doctor.</w:t>
      </w:r>
    </w:p>
    <w:p>
      <w:pPr>
        <w:spacing w:after="50" w:before="50"/>
      </w:pPr>
      <w:r>
        <w:rPr>
          <w:rFonts w:ascii="Arial" w:cs="Arial" w:eastAsia="Arial" w:hAnsi="Arial"/>
          <w:b/>
          <w:bCs/>
          <w:sz w:val="22"/>
          <w:szCs w:val="22"/>
        </w:rPr>
        <w:t xml:space="preserve">Lead Applicant: </w:t>
      </w:r>
      <w:r>
        <w:rPr>
          <w:rFonts w:ascii="Arial" w:cs="Arial" w:eastAsia="Arial" w:hAnsi="Arial"/>
          <w:sz w:val="22"/>
          <w:szCs w:val="22"/>
        </w:rPr>
        <w:t xml:space="preserve">Adegbegi Martins Maxwell</w:t>
      </w:r>
    </w:p>
    <w:p>
      <w:pPr>
        <w:spacing w:after="50" w:before="50"/>
      </w:pPr>
      <w:r>
        <w:rPr>
          <w:rFonts w:ascii="Arial" w:cs="Arial" w:eastAsia="Arial" w:hAnsi="Arial"/>
          <w:b/>
          <w:bCs/>
          <w:sz w:val="22"/>
          <w:szCs w:val="22"/>
        </w:rPr>
        <w:t xml:space="preserve">Email: </w:t>
      </w:r>
      <w:r>
        <w:rPr>
          <w:rFonts w:ascii="Arial" w:cs="Arial" w:eastAsia="Arial" w:hAnsi="Arial"/>
          <w:sz w:val="22"/>
          <w:szCs w:val="22"/>
        </w:rPr>
        <w:t xml:space="preserve">adegbegimartinsmaxwell@gmail.com</w:t>
      </w:r>
    </w:p>
    <w:p>
      <w:pPr>
        <w:spacing w:after="50" w:before="50"/>
      </w:pPr>
      <w:r>
        <w:rPr>
          <w:rFonts w:ascii="Arial" w:cs="Arial" w:eastAsia="Arial" w:hAnsi="Arial"/>
          <w:b/>
          <w:bCs/>
          <w:sz w:val="22"/>
          <w:szCs w:val="22"/>
        </w:rPr>
        <w:t xml:space="preserve">Website: </w:t>
      </w:r>
      <w:r>
        <w:rPr>
          <w:rFonts w:ascii="Arial" w:cs="Arial" w:eastAsia="Arial" w:hAnsi="Arial"/>
          <w:sz w:val="22"/>
          <w:szCs w:val="22"/>
        </w:rPr>
        <w:t xml:space="preserve">agrodoc.ng</w:t>
      </w:r>
    </w:p>
    <w:p>
      <w:pPr>
        <w:spacing w:after="50" w:before="50"/>
      </w:pPr>
      <w:r>
        <w:rPr>
          <w:rFonts w:ascii="Arial" w:cs="Arial" w:eastAsia="Arial" w:hAnsi="Arial"/>
          <w:b/>
          <w:bCs/>
          <w:sz w:val="22"/>
          <w:szCs w:val="22"/>
        </w:rPr>
        <w:t xml:space="preserve">Tech stack: </w:t>
      </w:r>
      <w:r>
        <w:rPr>
          <w:rFonts w:ascii="Arial" w:cs="Arial" w:eastAsia="Arial" w:hAnsi="Arial"/>
          <w:sz w:val="22"/>
          <w:szCs w:val="22"/>
        </w:rPr>
        <w:t xml:space="preserve">React (web app), Node.js (backend), Claude AI (Anthropic), WhatsApp Cloud API, OpenStreetMap</w:t>
      </w:r>
    </w:p>
    <w:p>
      <w:pPr>
        <w:spacing w:after="50" w:before="50"/>
      </w:pPr>
      <w:r>
        <w:rPr>
          <w:rFonts w:ascii="Arial" w:cs="Arial" w:eastAsia="Arial" w:hAnsi="Arial"/>
          <w:b/>
          <w:bCs/>
          <w:sz w:val="22"/>
          <w:szCs w:val="22"/>
        </w:rPr>
        <w:t xml:space="preserve">Security: </w:t>
      </w:r>
      <w:r>
        <w:rPr>
          <w:rFonts w:ascii="Arial" w:cs="Arial" w:eastAsia="Arial" w:hAnsi="Arial"/>
          <w:sz w:val="22"/>
          <w:szCs w:val="22"/>
        </w:rPr>
        <w:t xml:space="preserve">19 loopholes fixed, NDPR 2019 compliant, audit log, validated feedback loop</w:t>
      </w:r>
    </w:p>
    <w:p>
      <w:pPr>
        <w:pBdr>
          <w:bottom w:val="single" w:color="D0E8D8" w:sz="6"/>
        </w:pBdr>
        <w:spacing w:after="140" w:before="140"/>
      </w:pPr>
    </w:p>
    <w:tbl>
      <w:tblPr>
        <w:tblW w:type="dxa" w:w="9360"/>
        <w:tblBorders>
          <w:top w:val="none"/>
          <w:left w:val="none"/>
          <w:bottom w:val="none"/>
          <w:right w:val="none"/>
          <w:insideH w:val="single" w:color="auto" w:sz="4"/>
          <w:insideV w:val="single" w:color="auto" w:sz="4"/>
        </w:tblBorders>
      </w:tblPr>
      <w:tblGrid>
        <w:gridCol w:w="720"/>
        <w:gridCol w:w="8640"/>
      </w:tblGrid>
      <w:tr>
        <w:tc>
          <w:tcPr>
            <w:tcW w:type="dxa" w:w="720"/>
          </w:tcPr>
          <w:p>
            <w:pPr>
              <w:spacing w:after="0" w:before="0"/>
              <w:jc w:val="center"/>
            </w:pP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 cy="381000"/>
                          </a:xfrm>
                          <a:prstGeom prst="rect">
                            <a:avLst/>
                          </a:prstGeom>
                        </pic:spPr>
                      </pic:pic>
                    </a:graphicData>
                  </a:graphic>
                </wp:inline>
              </w:drawing>
            </w:r>
          </w:p>
        </w:tc>
        <w:tc>
          <w:tcPr>
            <w:tcW w:type="dxa" w:w="8640"/>
            <w:vAlign w:val="center"/>
          </w:tcPr>
          <w:p>
            <w:pPr>
              <w:spacing w:after="20" w:before="0"/>
            </w:pPr>
            <w:r>
              <w:rPr>
                <w:rFonts w:ascii="Arial" w:cs="Arial" w:eastAsia="Arial" w:hAnsi="Arial"/>
                <w:b/>
                <w:bCs/>
                <w:color w:val="1A5C36"/>
                <w:sz w:val="18"/>
                <w:szCs w:val="18"/>
              </w:rPr>
              <w:t xml:space="preserve">AgroDoc AI — Your Farm. Our Doctor.</w:t>
            </w:r>
          </w:p>
          <w:p>
            <w:pPr>
              <w:spacing w:after="0" w:before="0"/>
            </w:pPr>
            <w:r>
              <w:rPr>
                <w:rFonts w:ascii="Arial" w:cs="Arial" w:eastAsia="Arial" w:hAnsi="Arial"/>
                <w:color w:val="888888"/>
                <w:sz w:val="16"/>
                <w:szCs w:val="16"/>
              </w:rPr>
              <w:t xml:space="preserve">Adegbegi Martins Maxwell  |  adegbegimartinsmaxwell@gmail.com  |  agrodoc.ng</w:t>
            </w:r>
          </w:p>
        </w:tc>
      </w:tr>
    </w:tbl>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60"/>
      <w:outlineLvl w:val="0"/>
    </w:pPr>
    <w:rPr>
      <w:rFonts w:ascii="Arial" w:cs="Arial" w:eastAsia="Arial" w:hAnsi="Arial"/>
      <w:b/>
      <w:bCs/>
      <w:color w:val="1A5C36"/>
      <w:sz w:val="30"/>
      <w:szCs w:val="30"/>
    </w:rPr>
  </w:style>
  <w:style w:type="paragraph" w:styleId="Heading2">
    <w:name w:val="Heading 2"/>
    <w:basedOn w:val="Normal"/>
    <w:next w:val="Normal"/>
    <w:qFormat/>
    <w:pPr>
      <w:spacing w:after="80" w:before="180"/>
      <w:outlineLvl w:val="1"/>
    </w:pPr>
    <w:rPr>
      <w:rFonts w:ascii="Arial" w:cs="Arial" w:eastAsia="Arial" w:hAnsi="Arial"/>
      <w:b/>
      <w:bCs/>
      <w:color w:val="1A5C36"/>
      <w:sz w:val="24"/>
      <w:szCs w:val="24"/>
    </w:rPr>
  </w:style>
  <w:style w:type="paragraph" w:styleId="Heading3">
    <w:name w:val="Heading 3"/>
    <w:basedOn w:val="Normal"/>
    <w:next w:val="Normal"/>
    <w:qFormat/>
    <w:pPr>
      <w:spacing w:after="60" w:before="140"/>
      <w:outlineLvl w:val="2"/>
    </w:pPr>
    <w:rPr>
      <w:rFonts w:ascii="Arial" w:cs="Arial" w:eastAsia="Arial" w:hAnsi="Arial"/>
      <w:b/>
      <w:bCs/>
      <w:color w:val="0B2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bdfb74099438ffc1e6973166b4d06ed0c5ed38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2026-04-13T23:25:37.560Z</dcterms:created>
  <dcterms:modified xsi:type="dcterms:W3CDTF">2026-04-13T23:25:37.560Z</dcterms:modified>
</cp:coreProperties>
</file>

<file path=docProps/custom.xml><?xml version="1.0" encoding="utf-8"?>
<Properties xmlns="http://schemas.openxmlformats.org/officeDocument/2006/custom-properties" xmlns:vt="http://schemas.openxmlformats.org/officeDocument/2006/docPropsVTypes"/>
</file>