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52E55">
      <w:pPr>
        <w:spacing w:before="1800"/>
      </w:pPr>
    </w:p>
    <w:p w14:paraId="42077F25">
      <w:pPr>
        <w:spacing w:after="100"/>
        <w:jc w:val="center"/>
      </w:pPr>
      <w:r>
        <w:rPr>
          <w:rFonts w:ascii="Calibri" w:hAnsi="Calibri" w:eastAsia="Calibri" w:cs="Calibri"/>
          <w:b/>
          <w:bCs/>
          <w:color w:val="1C7293"/>
          <w:sz w:val="20"/>
          <w:szCs w:val="20"/>
        </w:rPr>
        <w:t>EMPLOYEE ATTRITION &amp; RETENTION</w:t>
      </w:r>
    </w:p>
    <w:p w14:paraId="2F0ABAFC">
      <w:pPr>
        <w:spacing w:after="200"/>
        <w:jc w:val="center"/>
      </w:pPr>
      <w:r>
        <w:rPr>
          <w:rFonts w:ascii="Cambria" w:hAnsi="Cambria" w:eastAsia="Cambria" w:cs="Cambria"/>
          <w:b/>
          <w:bCs/>
          <w:color w:val="065A82"/>
          <w:sz w:val="48"/>
          <w:szCs w:val="48"/>
        </w:rPr>
        <w:t>Employee Attrition &amp; Retention Intelligence</w:t>
      </w:r>
    </w:p>
    <w:p w14:paraId="2CB826B8">
      <w:pPr>
        <w:spacing w:after="300"/>
        <w:jc w:val="center"/>
      </w:pPr>
      <w:r>
        <w:rPr>
          <w:rFonts w:ascii="Calibri" w:hAnsi="Calibri" w:eastAsia="Calibri" w:cs="Calibri"/>
          <w:i/>
          <w:iCs/>
          <w:color w:val="5C6B7A"/>
          <w:sz w:val="26"/>
          <w:szCs w:val="26"/>
        </w:rPr>
        <w:t>A Data Analytics Investigation Using the IBM HR Analytics Dataset</w:t>
      </w:r>
    </w:p>
    <w:p w14:paraId="259D75A1">
      <w:pPr>
        <w:spacing w:after="300"/>
        <w:jc w:val="center"/>
      </w:pP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tblGrid>
      <w:tr w14:paraId="1ECB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exact"/>
        </w:trPr>
        <w:tc>
          <w:tcPr>
            <w:tcW w:w="4000" w:type="dxa"/>
            <w:tcBorders>
              <w:top w:val="nil"/>
              <w:left w:val="nil"/>
              <w:bottom w:val="nil"/>
              <w:right w:val="nil"/>
            </w:tcBorders>
            <w:shd w:val="clear" w:color="auto" w:fill="1C7293"/>
          </w:tcPr>
          <w:p w14:paraId="05E767F8"/>
        </w:tc>
      </w:tr>
    </w:tbl>
    <w:p w14:paraId="056BEA52">
      <w:pPr>
        <w:spacing w:after="300"/>
      </w:pPr>
    </w:p>
    <w:p w14:paraId="2323761C">
      <w:pPr>
        <w:spacing w:after="100"/>
        <w:jc w:val="center"/>
        <w:rPr>
          <w:rFonts w:hint="default"/>
          <w:lang w:val="en-US"/>
        </w:rPr>
      </w:pPr>
      <w:r>
        <w:rPr>
          <w:rFonts w:ascii="Calibri" w:hAnsi="Calibri" w:eastAsia="Calibri" w:cs="Calibri"/>
          <w:color w:val="1B2A3A"/>
          <w:sz w:val="24"/>
          <w:szCs w:val="24"/>
        </w:rPr>
        <w:t>Prepared by: Zohra</w:t>
      </w:r>
      <w:r>
        <w:rPr>
          <w:rFonts w:hint="default" w:ascii="Calibri" w:hAnsi="Calibri" w:eastAsia="Calibri" w:cs="Calibri"/>
          <w:color w:val="1B2A3A"/>
          <w:sz w:val="24"/>
          <w:szCs w:val="24"/>
          <w:lang w:val="en-US"/>
        </w:rPr>
        <w:t xml:space="preserve"> Sayyed Abed Ali </w:t>
      </w:r>
    </w:p>
    <w:p w14:paraId="2BDC85A3">
      <w:pPr>
        <w:spacing w:after="100"/>
        <w:jc w:val="center"/>
      </w:pPr>
      <w:r>
        <w:rPr>
          <w:rFonts w:ascii="Calibri" w:hAnsi="Calibri" w:eastAsia="Calibri" w:cs="Calibri"/>
          <w:color w:val="1B2A3A"/>
          <w:sz w:val="24"/>
          <w:szCs w:val="24"/>
        </w:rPr>
        <w:t>AICTE | IBM SkillsBuild Data Analytics with AI Internship 2026</w:t>
      </w:r>
    </w:p>
    <w:p w14:paraId="606D17D8">
      <w:pPr>
        <w:jc w:val="center"/>
      </w:pPr>
      <w:r>
        <w:rPr>
          <w:rFonts w:ascii="Calibri" w:hAnsi="Calibri" w:eastAsia="Calibri" w:cs="Calibri"/>
          <w:color w:val="1B2A3A"/>
          <w:sz w:val="24"/>
          <w:szCs w:val="24"/>
        </w:rPr>
        <w:t>September 2026</w:t>
      </w:r>
    </w:p>
    <w:p w14:paraId="10F2BC72">
      <w:r>
        <w:br w:type="page"/>
      </w:r>
    </w:p>
    <w:p w14:paraId="078D92B2">
      <w:pPr>
        <w:spacing w:after="300"/>
      </w:pPr>
      <w:r>
        <w:rPr>
          <w:rFonts w:ascii="Cambria" w:hAnsi="Cambria" w:eastAsia="Cambria" w:cs="Cambria"/>
          <w:b/>
          <w:bCs/>
          <w:color w:val="065A82"/>
          <w:sz w:val="32"/>
          <w:szCs w:val="32"/>
        </w:rPr>
        <w:t>Table of Contents</w:t>
      </w:r>
    </w:p>
    <w:p w14:paraId="4D072D90">
      <w:pPr>
        <w:spacing w:after="140"/>
      </w:pPr>
      <w:r>
        <w:rPr>
          <w:rFonts w:ascii="Calibri" w:hAnsi="Calibri" w:eastAsia="Calibri" w:cs="Calibri"/>
          <w:color w:val="1B2A3A"/>
          <w:sz w:val="24"/>
          <w:szCs w:val="24"/>
        </w:rPr>
        <w:t>1. Introduction</w:t>
      </w:r>
    </w:p>
    <w:p w14:paraId="52B593C9">
      <w:pPr>
        <w:spacing w:after="140"/>
      </w:pPr>
      <w:r>
        <w:rPr>
          <w:rFonts w:ascii="Calibri" w:hAnsi="Calibri" w:eastAsia="Calibri" w:cs="Calibri"/>
          <w:color w:val="1B2A3A"/>
          <w:sz w:val="24"/>
          <w:szCs w:val="24"/>
        </w:rPr>
        <w:t>2. Dataset</w:t>
      </w:r>
    </w:p>
    <w:p w14:paraId="413050D3">
      <w:pPr>
        <w:spacing w:after="140"/>
      </w:pPr>
      <w:r>
        <w:rPr>
          <w:rFonts w:ascii="Calibri" w:hAnsi="Calibri" w:eastAsia="Calibri" w:cs="Calibri"/>
          <w:color w:val="1B2A3A"/>
          <w:sz w:val="24"/>
          <w:szCs w:val="24"/>
        </w:rPr>
        <w:t>3. Data Cleaning &amp; Preprocessing</w:t>
      </w:r>
    </w:p>
    <w:p w14:paraId="42AE0821">
      <w:pPr>
        <w:spacing w:after="140"/>
      </w:pPr>
      <w:r>
        <w:rPr>
          <w:rFonts w:ascii="Calibri" w:hAnsi="Calibri" w:eastAsia="Calibri" w:cs="Calibri"/>
          <w:color w:val="1B2A3A"/>
          <w:sz w:val="24"/>
          <w:szCs w:val="24"/>
        </w:rPr>
        <w:t>4. Exploratory Analysis &amp; Attrition Drivers</w:t>
      </w:r>
    </w:p>
    <w:p w14:paraId="3041CF5A">
      <w:pPr>
        <w:spacing w:after="140"/>
      </w:pPr>
      <w:r>
        <w:rPr>
          <w:rFonts w:ascii="Calibri" w:hAnsi="Calibri" w:eastAsia="Calibri" w:cs="Calibri"/>
          <w:color w:val="1B2A3A"/>
          <w:sz w:val="24"/>
          <w:szCs w:val="24"/>
        </w:rPr>
        <w:t>5. High-Risk Compound Segment</w:t>
      </w:r>
    </w:p>
    <w:p w14:paraId="5927D65E">
      <w:pPr>
        <w:spacing w:after="140"/>
      </w:pPr>
      <w:r>
        <w:rPr>
          <w:rFonts w:ascii="Calibri" w:hAnsi="Calibri" w:eastAsia="Calibri" w:cs="Calibri"/>
          <w:color w:val="1B2A3A"/>
          <w:sz w:val="24"/>
          <w:szCs w:val="24"/>
        </w:rPr>
        <w:t>6. Predictive Modelling — Logistic Regression</w:t>
      </w:r>
    </w:p>
    <w:p w14:paraId="4250C1BA">
      <w:pPr>
        <w:spacing w:after="140"/>
      </w:pPr>
      <w:r>
        <w:rPr>
          <w:rFonts w:ascii="Calibri" w:hAnsi="Calibri" w:eastAsia="Calibri" w:cs="Calibri"/>
          <w:color w:val="1B2A3A"/>
          <w:sz w:val="24"/>
          <w:szCs w:val="24"/>
        </w:rPr>
        <w:t>7. Business Recommendations</w:t>
      </w:r>
    </w:p>
    <w:p w14:paraId="1552533E">
      <w:pPr>
        <w:spacing w:after="140"/>
      </w:pPr>
      <w:r>
        <w:rPr>
          <w:rFonts w:ascii="Calibri" w:hAnsi="Calibri" w:eastAsia="Calibri" w:cs="Calibri"/>
          <w:color w:val="1B2A3A"/>
          <w:sz w:val="24"/>
          <w:szCs w:val="24"/>
        </w:rPr>
        <w:t>8. Limitations</w:t>
      </w:r>
    </w:p>
    <w:p w14:paraId="283DD81C">
      <w:pPr>
        <w:spacing w:after="140"/>
      </w:pPr>
      <w:r>
        <w:rPr>
          <w:rFonts w:ascii="Calibri" w:hAnsi="Calibri" w:eastAsia="Calibri" w:cs="Calibri"/>
          <w:color w:val="1B2A3A"/>
          <w:sz w:val="24"/>
          <w:szCs w:val="24"/>
        </w:rPr>
        <w:t>9. Conclusion</w:t>
      </w:r>
    </w:p>
    <w:p w14:paraId="3995B4DF">
      <w:pPr>
        <w:spacing w:after="140"/>
      </w:pPr>
      <w:r>
        <w:rPr>
          <w:rFonts w:ascii="Calibri" w:hAnsi="Calibri" w:eastAsia="Calibri" w:cs="Calibri"/>
          <w:color w:val="1B2A3A"/>
          <w:sz w:val="24"/>
          <w:szCs w:val="24"/>
        </w:rPr>
        <w:t>10. References</w:t>
      </w:r>
    </w:p>
    <w:p w14:paraId="568553D4">
      <w:pPr>
        <w:spacing w:after="140"/>
      </w:pPr>
      <w:r>
        <w:rPr>
          <w:rFonts w:ascii="Calibri" w:hAnsi="Calibri" w:eastAsia="Calibri" w:cs="Calibri"/>
          <w:color w:val="1B2A3A"/>
          <w:sz w:val="24"/>
          <w:szCs w:val="24"/>
        </w:rPr>
        <w:t>Appendix A — Data Dictionary</w:t>
      </w:r>
    </w:p>
    <w:p w14:paraId="70EAB7F6">
      <w:pPr>
        <w:spacing w:after="140"/>
      </w:pPr>
      <w:r>
        <w:rPr>
          <w:rFonts w:ascii="Calibri" w:hAnsi="Calibri" w:eastAsia="Calibri" w:cs="Calibri"/>
          <w:color w:val="1B2A3A"/>
          <w:sz w:val="24"/>
          <w:szCs w:val="24"/>
        </w:rPr>
        <w:t>Appendix B — Dashboard Screenshots</w:t>
      </w:r>
    </w:p>
    <w:p w14:paraId="692CC9D1">
      <w:r>
        <w:br w:type="page"/>
      </w:r>
    </w:p>
    <w:p w14:paraId="2DEA6C23">
      <w:pPr>
        <w:keepNext/>
        <w:keepLines/>
        <w:spacing w:before="550" w:after="160"/>
      </w:pPr>
      <w:r>
        <w:rPr>
          <w:rFonts w:ascii="Cambria" w:hAnsi="Cambria" w:eastAsia="Cambria" w:cs="Cambria"/>
          <w:b/>
          <w:bCs/>
          <w:color w:val="065A82"/>
          <w:sz w:val="34"/>
          <w:szCs w:val="34"/>
        </w:rPr>
        <w:t>1. Introduction</w:t>
      </w:r>
    </w:p>
    <w:p w14:paraId="2C60E361">
      <w:pPr>
        <w:keepNext/>
        <w:keepLines/>
        <w:spacing w:before="320" w:after="130"/>
      </w:pPr>
      <w:r>
        <w:rPr>
          <w:rFonts w:ascii="Cambria" w:hAnsi="Cambria" w:eastAsia="Cambria" w:cs="Cambria"/>
          <w:b/>
          <w:bCs/>
          <w:color w:val="1C7293"/>
          <w:sz w:val="26"/>
          <w:szCs w:val="26"/>
        </w:rPr>
        <w:t>1.1 Background</w:t>
      </w:r>
    </w:p>
    <w:p w14:paraId="34B58177">
      <w:pPr>
        <w:spacing w:after="150"/>
      </w:pPr>
      <w:r>
        <w:rPr>
          <w:rFonts w:ascii="Calibri" w:hAnsi="Calibri" w:eastAsia="Calibri" w:cs="Calibri"/>
          <w:color w:val="1B2A3A"/>
        </w:rPr>
        <w:t>Employee attrition — the rate at which employees leave an organisation — is one of the most controllable and costly problems a business faces. Replacing an employee can be costly once recruitment, onboarding, and lost productivity are accounted for. Despite this, many organisations respond to attrition reactively rather than using available data to anticipate and prevent it.</w:t>
      </w:r>
    </w:p>
    <w:p w14:paraId="67DC4DBA">
      <w:pPr>
        <w:keepNext/>
        <w:keepLines/>
        <w:spacing w:before="320" w:after="130"/>
      </w:pPr>
      <w:r>
        <w:rPr>
          <w:rFonts w:ascii="Cambria" w:hAnsi="Cambria" w:eastAsia="Cambria" w:cs="Cambria"/>
          <w:b/>
          <w:bCs/>
          <w:color w:val="1C7293"/>
          <w:sz w:val="26"/>
          <w:szCs w:val="26"/>
        </w:rPr>
        <w:t>1.2 Objectives</w:t>
      </w:r>
    </w:p>
    <w:p w14:paraId="705A9A22">
      <w:pPr>
        <w:spacing w:after="150"/>
      </w:pPr>
      <w:r>
        <w:rPr>
          <w:rFonts w:ascii="Calibri" w:hAnsi="Calibri" w:eastAsia="Calibri" w:cs="Calibri"/>
          <w:color w:val="1B2A3A"/>
        </w:rPr>
        <w:t>This project investigates the following questions using the IBM HR Analytics dataset:</w:t>
      </w:r>
    </w:p>
    <w:p w14:paraId="11403F6A">
      <w:pPr>
        <w:pStyle w:val="16"/>
        <w:numPr>
          <w:ilvl w:val="0"/>
          <w:numId w:val="1"/>
        </w:numPr>
        <w:spacing w:after="100"/>
      </w:pPr>
      <w:r>
        <w:rPr>
          <w:rFonts w:ascii="Calibri" w:hAnsi="Calibri" w:eastAsia="Calibri" w:cs="Calibri"/>
          <w:b w:val="0"/>
          <w:bCs w:val="0"/>
          <w:color w:val="1B2A3A"/>
        </w:rPr>
        <w:t>Which factors are most strongly associated with employees leaving?</w:t>
      </w:r>
    </w:p>
    <w:p w14:paraId="09068405">
      <w:pPr>
        <w:pStyle w:val="16"/>
        <w:numPr>
          <w:ilvl w:val="0"/>
          <w:numId w:val="1"/>
        </w:numPr>
        <w:spacing w:after="100"/>
      </w:pPr>
      <w:r>
        <w:rPr>
          <w:rFonts w:ascii="Calibri" w:hAnsi="Calibri" w:eastAsia="Calibri" w:cs="Calibri"/>
          <w:b w:val="0"/>
          <w:bCs w:val="0"/>
          <w:color w:val="1B2A3A"/>
        </w:rPr>
        <w:t>Do certain combinations of factors create disproportionate risk?</w:t>
      </w:r>
    </w:p>
    <w:p w14:paraId="0D3343AD">
      <w:pPr>
        <w:pStyle w:val="16"/>
        <w:numPr>
          <w:ilvl w:val="0"/>
          <w:numId w:val="1"/>
        </w:numPr>
        <w:spacing w:after="100"/>
      </w:pPr>
      <w:r>
        <w:rPr>
          <w:rFonts w:ascii="Calibri" w:hAnsi="Calibri" w:eastAsia="Calibri" w:cs="Calibri"/>
          <w:b w:val="0"/>
          <w:bCs w:val="0"/>
          <w:color w:val="1B2A3A"/>
        </w:rPr>
        <w:t>Does a simple, explainable statistical model point to the same drivers?</w:t>
      </w:r>
    </w:p>
    <w:p w14:paraId="1460D9F3">
      <w:pPr>
        <w:pStyle w:val="16"/>
        <w:numPr>
          <w:ilvl w:val="0"/>
          <w:numId w:val="1"/>
        </w:numPr>
        <w:spacing w:after="100"/>
      </w:pPr>
      <w:r>
        <w:rPr>
          <w:rFonts w:ascii="Calibri" w:hAnsi="Calibri" w:eastAsia="Calibri" w:cs="Calibri"/>
          <w:b w:val="0"/>
          <w:bCs w:val="0"/>
          <w:color w:val="1B2A3A"/>
        </w:rPr>
        <w:t>What concrete, actionable recommendations can be made to management?</w:t>
      </w:r>
    </w:p>
    <w:p w14:paraId="0DDEEF3D">
      <w:pPr>
        <w:keepNext/>
        <w:keepLines/>
        <w:spacing w:before="320" w:after="130"/>
      </w:pPr>
      <w:r>
        <w:rPr>
          <w:rFonts w:ascii="Cambria" w:hAnsi="Cambria" w:eastAsia="Cambria" w:cs="Cambria"/>
          <w:b/>
          <w:bCs/>
          <w:color w:val="1C7293"/>
          <w:sz w:val="26"/>
          <w:szCs w:val="26"/>
        </w:rPr>
        <w:t>1.3 Scope and Constraints</w:t>
      </w:r>
    </w:p>
    <w:p w14:paraId="70735402">
      <w:pPr>
        <w:spacing w:after="150"/>
      </w:pPr>
      <w:r>
        <w:rPr>
          <w:rFonts w:ascii="Calibri" w:hAnsi="Calibri" w:eastAsia="Calibri" w:cs="Calibri"/>
          <w:color w:val="1B2A3A"/>
        </w:rPr>
        <w:t>This analysis is descriptive and diagnostic (describing what is happening and which factors are associated with it), not purely predictive. The scope was deliberately kept focused: one well-understood dataset, a small set of meaningful KPIs, and one explainable model — in line with the guidance that project quality is judged by clarity of business thinking, not technical complexity.</w:t>
      </w:r>
    </w:p>
    <w:p w14:paraId="20A3E52B">
      <w:pPr>
        <w:keepNext/>
        <w:keepLines/>
        <w:spacing w:before="550" w:after="160"/>
      </w:pPr>
      <w:r>
        <w:rPr>
          <w:rFonts w:ascii="Cambria" w:hAnsi="Cambria" w:eastAsia="Cambria" w:cs="Cambria"/>
          <w:b/>
          <w:bCs/>
          <w:color w:val="065A82"/>
          <w:sz w:val="34"/>
          <w:szCs w:val="34"/>
        </w:rPr>
        <w:t>2. Dataset</w:t>
      </w:r>
    </w:p>
    <w:p w14:paraId="3403B6DA">
      <w:pPr>
        <w:keepNext/>
        <w:keepLines/>
        <w:spacing w:before="320" w:after="130"/>
      </w:pPr>
      <w:r>
        <w:rPr>
          <w:rFonts w:ascii="Cambria" w:hAnsi="Cambria" w:eastAsia="Cambria" w:cs="Cambria"/>
          <w:b/>
          <w:bCs/>
          <w:color w:val="1C7293"/>
          <w:sz w:val="26"/>
          <w:szCs w:val="26"/>
        </w:rPr>
        <w:t>2.1 Source and Description</w:t>
      </w:r>
    </w:p>
    <w:p w14:paraId="59B034A2">
      <w:pPr>
        <w:spacing w:after="150"/>
      </w:pPr>
      <w:r>
        <w:rPr>
          <w:rFonts w:ascii="Calibri" w:hAnsi="Calibri" w:eastAsia="Calibri" w:cs="Calibri"/>
          <w:color w:val="1B2A3A"/>
        </w:rPr>
        <w:t>Dataset: IBM HR Analytics Employee Attrition &amp; Performance</w:t>
      </w:r>
    </w:p>
    <w:p w14:paraId="7C84AE00">
      <w:pPr>
        <w:spacing w:after="150"/>
      </w:pPr>
      <w:r>
        <w:rPr>
          <w:rFonts w:ascii="Calibri" w:hAnsi="Calibri" w:eastAsia="Calibri" w:cs="Calibri"/>
          <w:color w:val="1B2A3A"/>
        </w:rPr>
        <w:t>Source: Kaggle (uploaded by pavansubhasht) — https://www.kaggle.com/datasets/pavansubhasht/ibm-hr-analytics-attrition-dataset</w:t>
      </w:r>
    </w:p>
    <w:p w14:paraId="0BAC172D">
      <w:pPr>
        <w:spacing w:after="150"/>
      </w:pPr>
      <w:r>
        <w:rPr>
          <w:rFonts w:ascii="Calibri" w:hAnsi="Calibri" w:eastAsia="Calibri" w:cs="Calibri"/>
          <w:color w:val="1B2A3A"/>
        </w:rPr>
        <w:t>This is a fictional dataset created by IBM data scientists, as stated on its Kaggle page; it does not contain real employee data. It contains 1,470 employee records across 35 original attributes, including demographic details, compensation, job role, satisfaction scores, and tenure information.</w:t>
      </w:r>
    </w:p>
    <w:p w14:paraId="049087A2">
      <w:pPr>
        <w:keepNext/>
        <w:keepLines/>
        <w:spacing w:before="320" w:after="130"/>
      </w:pPr>
      <w:r>
        <w:rPr>
          <w:rFonts w:ascii="Cambria" w:hAnsi="Cambria" w:eastAsia="Cambria" w:cs="Cambria"/>
          <w:b/>
          <w:bCs/>
          <w:color w:val="1C7293"/>
          <w:sz w:val="26"/>
          <w:szCs w:val="26"/>
        </w:rPr>
        <w:t>2.2 Key Features Relevant to This Investigation</w:t>
      </w:r>
    </w:p>
    <w:p w14:paraId="41E3BC59">
      <w:pPr>
        <w:pStyle w:val="16"/>
        <w:numPr>
          <w:ilvl w:val="0"/>
          <w:numId w:val="1"/>
        </w:numPr>
        <w:spacing w:after="100"/>
      </w:pPr>
      <w:r>
        <w:rPr>
          <w:rFonts w:ascii="Calibri" w:hAnsi="Calibri" w:eastAsia="Calibri" w:cs="Calibri"/>
          <w:b w:val="0"/>
          <w:bCs w:val="0"/>
          <w:color w:val="1B2A3A"/>
        </w:rPr>
        <w:t>Demographic &amp; role: Age, Department, JobRole, JobLevel, MaritalStatus</w:t>
      </w:r>
    </w:p>
    <w:p w14:paraId="482C9BA8">
      <w:pPr>
        <w:pStyle w:val="16"/>
        <w:numPr>
          <w:ilvl w:val="0"/>
          <w:numId w:val="1"/>
        </w:numPr>
        <w:spacing w:after="100"/>
      </w:pPr>
      <w:r>
        <w:rPr>
          <w:rFonts w:ascii="Calibri" w:hAnsi="Calibri" w:eastAsia="Calibri" w:cs="Calibri"/>
          <w:b w:val="0"/>
          <w:bCs w:val="0"/>
          <w:color w:val="1B2A3A"/>
        </w:rPr>
        <w:t>Compensation: MonthlyIncome, PercentSalaryHike, StockOptionLevel</w:t>
      </w:r>
    </w:p>
    <w:p w14:paraId="41163366">
      <w:pPr>
        <w:pStyle w:val="16"/>
        <w:numPr>
          <w:ilvl w:val="0"/>
          <w:numId w:val="1"/>
        </w:numPr>
        <w:spacing w:after="100"/>
      </w:pPr>
      <w:r>
        <w:rPr>
          <w:rFonts w:ascii="Calibri" w:hAnsi="Calibri" w:eastAsia="Calibri" w:cs="Calibri"/>
          <w:b w:val="0"/>
          <w:bCs w:val="0"/>
          <w:color w:val="1B2A3A"/>
        </w:rPr>
        <w:t>Work conditions: OverTime, BusinessTravel, DistanceFromHome</w:t>
      </w:r>
    </w:p>
    <w:p w14:paraId="145AA2C7">
      <w:pPr>
        <w:pStyle w:val="16"/>
        <w:numPr>
          <w:ilvl w:val="0"/>
          <w:numId w:val="1"/>
        </w:numPr>
        <w:spacing w:after="100"/>
      </w:pPr>
      <w:r>
        <w:rPr>
          <w:rFonts w:ascii="Calibri" w:hAnsi="Calibri" w:eastAsia="Calibri" w:cs="Calibri"/>
          <w:b w:val="0"/>
          <w:bCs w:val="0"/>
          <w:color w:val="1B2A3A"/>
        </w:rPr>
        <w:t>Satisfaction: JobSatisfaction, EnvironmentSatisfaction, WorkLifeBalance</w:t>
      </w:r>
    </w:p>
    <w:p w14:paraId="21E6B605">
      <w:pPr>
        <w:pStyle w:val="16"/>
        <w:numPr>
          <w:ilvl w:val="0"/>
          <w:numId w:val="1"/>
        </w:numPr>
        <w:spacing w:after="100"/>
      </w:pPr>
      <w:r>
        <w:rPr>
          <w:rFonts w:ascii="Calibri" w:hAnsi="Calibri" w:eastAsia="Calibri" w:cs="Calibri"/>
          <w:b w:val="0"/>
          <w:bCs w:val="0"/>
          <w:color w:val="1B2A3A"/>
        </w:rPr>
        <w:t>Tenure: YearsAtCompany, YearsInCurrentRole, TotalWorkingYears</w:t>
      </w:r>
    </w:p>
    <w:p w14:paraId="40B2AEC9">
      <w:pPr>
        <w:keepNext/>
        <w:keepLines/>
        <w:spacing w:before="320" w:after="130"/>
      </w:pPr>
      <w:r>
        <w:rPr>
          <w:rFonts w:ascii="Cambria" w:hAnsi="Cambria" w:eastAsia="Cambria" w:cs="Cambria"/>
          <w:b/>
          <w:bCs/>
          <w:color w:val="1C7293"/>
          <w:sz w:val="26"/>
          <w:szCs w:val="26"/>
        </w:rPr>
        <w:t>2.3 Ethical Note</w:t>
      </w:r>
    </w:p>
    <w:p w14:paraId="2F033836">
      <w:pPr>
        <w:spacing w:after="150"/>
      </w:pPr>
      <w:r>
        <w:rPr>
          <w:rFonts w:ascii="Calibri" w:hAnsi="Calibri" w:eastAsia="Calibri" w:cs="Calibri"/>
          <w:color w:val="1B2A3A"/>
        </w:rPr>
        <w:t>Because this dataset is fictional, it contains no real individuals and raises no personal privacy concerns. Its use here is for analytical practice and demonstration of methodology; the same approach could be applied to a real organisation's data under appropriate data governance.</w:t>
      </w:r>
    </w:p>
    <w:p w14:paraId="4AB65AA5">
      <w:pPr>
        <w:keepNext/>
        <w:keepLines/>
        <w:spacing w:before="550" w:after="160"/>
      </w:pPr>
      <w:r>
        <w:rPr>
          <w:rFonts w:ascii="Cambria" w:hAnsi="Cambria" w:eastAsia="Cambria" w:cs="Cambria"/>
          <w:b/>
          <w:bCs/>
          <w:color w:val="065A82"/>
          <w:sz w:val="34"/>
          <w:szCs w:val="34"/>
        </w:rPr>
        <w:t>3. Data Cleaning &amp; Preprocessing</w:t>
      </w:r>
    </w:p>
    <w:p w14:paraId="66E4CF32">
      <w:pPr>
        <w:keepNext/>
        <w:keepLines/>
        <w:spacing w:before="320" w:after="130"/>
      </w:pPr>
      <w:r>
        <w:rPr>
          <w:rFonts w:ascii="Cambria" w:hAnsi="Cambria" w:eastAsia="Cambria" w:cs="Cambria"/>
          <w:b/>
          <w:bCs/>
          <w:color w:val="1C7293"/>
          <w:sz w:val="26"/>
          <w:szCs w:val="26"/>
        </w:rPr>
        <w:t>3.1 Columns Dropped</w:t>
      </w:r>
    </w:p>
    <w:p w14:paraId="18954EC7">
      <w:pPr>
        <w:spacing w:after="150"/>
      </w:pPr>
      <w:r>
        <w:rPr>
          <w:rFonts w:ascii="Calibri" w:hAnsi="Calibri" w:eastAsia="Calibri" w:cs="Calibri"/>
          <w:color w:val="1B2A3A"/>
        </w:rPr>
        <w:t>Four columns were removed prior to analysis, as they carried zero analytical information:</w:t>
      </w:r>
    </w:p>
    <w:p w14:paraId="1892E04D">
      <w:pPr>
        <w:pStyle w:val="16"/>
        <w:numPr>
          <w:ilvl w:val="0"/>
          <w:numId w:val="1"/>
        </w:numPr>
        <w:spacing w:after="100"/>
      </w:pPr>
      <w:r>
        <w:rPr>
          <w:rFonts w:ascii="Calibri" w:hAnsi="Calibri" w:eastAsia="Calibri" w:cs="Calibri"/>
          <w:b w:val="0"/>
          <w:bCs w:val="0"/>
          <w:color w:val="1B2A3A"/>
        </w:rPr>
        <w:t>EmployeeCount — identical value for every row</w:t>
      </w:r>
    </w:p>
    <w:p w14:paraId="16E3A2E2">
      <w:pPr>
        <w:pStyle w:val="16"/>
        <w:numPr>
          <w:ilvl w:val="0"/>
          <w:numId w:val="1"/>
        </w:numPr>
        <w:spacing w:after="100"/>
      </w:pPr>
      <w:r>
        <w:rPr>
          <w:rFonts w:ascii="Calibri" w:hAnsi="Calibri" w:eastAsia="Calibri" w:cs="Calibri"/>
          <w:b w:val="0"/>
          <w:bCs w:val="0"/>
          <w:color w:val="1B2A3A"/>
        </w:rPr>
        <w:t>StandardHours — identical value for every row</w:t>
      </w:r>
    </w:p>
    <w:p w14:paraId="3C12A45E">
      <w:pPr>
        <w:pStyle w:val="16"/>
        <w:numPr>
          <w:ilvl w:val="0"/>
          <w:numId w:val="1"/>
        </w:numPr>
        <w:spacing w:after="100"/>
      </w:pPr>
      <w:r>
        <w:rPr>
          <w:rFonts w:ascii="Calibri" w:hAnsi="Calibri" w:eastAsia="Calibri" w:cs="Calibri"/>
          <w:b w:val="0"/>
          <w:bCs w:val="0"/>
          <w:color w:val="1B2A3A"/>
        </w:rPr>
        <w:t>Over18 — identical value for every row</w:t>
      </w:r>
    </w:p>
    <w:p w14:paraId="5DA6C184">
      <w:pPr>
        <w:pStyle w:val="16"/>
        <w:numPr>
          <w:ilvl w:val="0"/>
          <w:numId w:val="1"/>
        </w:numPr>
        <w:spacing w:after="100"/>
      </w:pPr>
      <w:r>
        <w:rPr>
          <w:rFonts w:ascii="Calibri" w:hAnsi="Calibri" w:eastAsia="Calibri" w:cs="Calibri"/>
          <w:b w:val="0"/>
          <w:bCs w:val="0"/>
          <w:color w:val="1B2A3A"/>
        </w:rPr>
        <w:t>EmployeeNumber — a unique identifier, not a behavioural or demographic attribute</w:t>
      </w:r>
    </w:p>
    <w:p w14:paraId="65763622">
      <w:pPr>
        <w:keepNext/>
        <w:keepLines/>
        <w:spacing w:before="320" w:after="130"/>
      </w:pPr>
      <w:r>
        <w:rPr>
          <w:rFonts w:ascii="Cambria" w:hAnsi="Cambria" w:eastAsia="Cambria" w:cs="Cambria"/>
          <w:b/>
          <w:bCs/>
          <w:color w:val="1C7293"/>
          <w:sz w:val="26"/>
          <w:szCs w:val="26"/>
        </w:rPr>
        <w:t>3.2 Target Variable Engineering</w:t>
      </w:r>
    </w:p>
    <w:p w14:paraId="2C2FD490">
      <w:pPr>
        <w:spacing w:after="150"/>
      </w:pPr>
      <w:r>
        <w:rPr>
          <w:rFonts w:ascii="Calibri" w:hAnsi="Calibri" w:eastAsia="Calibri" w:cs="Calibri"/>
          <w:color w:val="1B2A3A"/>
        </w:rPr>
        <w:t>A binary column, Left, was created from the original Attrition field (Yes = 1, No = 0) to simplify calculations across the analysis.</w:t>
      </w:r>
    </w:p>
    <w:p w14:paraId="2DF43344">
      <w:pPr>
        <w:keepNext/>
        <w:keepLines/>
        <w:spacing w:before="320" w:after="130"/>
      </w:pPr>
      <w:r>
        <w:rPr>
          <w:rFonts w:ascii="Cambria" w:hAnsi="Cambria" w:eastAsia="Cambria" w:cs="Cambria"/>
          <w:b/>
          <w:bCs/>
          <w:color w:val="1C7293"/>
          <w:sz w:val="26"/>
          <w:szCs w:val="26"/>
        </w:rPr>
        <w:t>3.3 Data Quality Checks</w:t>
      </w:r>
    </w:p>
    <w:p w14:paraId="3BFEA583">
      <w:pPr>
        <w:spacing w:after="150"/>
      </w:pPr>
      <w:r>
        <w:rPr>
          <w:rFonts w:ascii="Calibri" w:hAnsi="Calibri" w:eastAsia="Calibri" w:cs="Calibri"/>
          <w:color w:val="1B2A3A"/>
        </w:rPr>
        <w:t>The dataset was checked for missing values, duplicate rows, and invalid numeric ranges (e.g. negative income or age). None were found. This is expected given the dataset's curated, fictional origin, and it allowed analytical effort to focus on deriving insight rather than repairing data.</w:t>
      </w:r>
    </w:p>
    <w:p w14:paraId="54E6394D">
      <w:pPr>
        <w:keepNext/>
        <w:keepLines/>
        <w:spacing w:before="550" w:after="160"/>
      </w:pPr>
      <w:r>
        <w:rPr>
          <w:rFonts w:ascii="Cambria" w:hAnsi="Cambria" w:eastAsia="Cambria" w:cs="Cambria"/>
          <w:b/>
          <w:bCs/>
          <w:color w:val="065A82"/>
          <w:sz w:val="34"/>
          <w:szCs w:val="34"/>
        </w:rPr>
        <w:t>4. Exploratory Analysis &amp; Attrition Drivers</w:t>
      </w:r>
    </w:p>
    <w:p w14:paraId="495A5115">
      <w:pPr>
        <w:keepNext/>
        <w:keepLines/>
        <w:spacing w:before="320" w:after="130"/>
      </w:pPr>
      <w:r>
        <w:rPr>
          <w:rFonts w:ascii="Cambria" w:hAnsi="Cambria" w:eastAsia="Cambria" w:cs="Cambria"/>
          <w:b/>
          <w:bCs/>
          <w:color w:val="1C7293"/>
          <w:sz w:val="26"/>
          <w:szCs w:val="26"/>
        </w:rPr>
        <w:t>4.1 Overall Key Performance Indicators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7"/>
        <w:gridCol w:w="3117"/>
      </w:tblGrid>
      <w:tr w14:paraId="05F8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4B7FED8C">
            <w:pPr>
              <w:spacing w:after="90"/>
              <w:jc w:val="center"/>
            </w:pPr>
            <w:r>
              <w:rPr>
                <w:rFonts w:ascii="Calibri" w:hAnsi="Calibri" w:eastAsia="Calibri" w:cs="Calibri"/>
                <w:b/>
                <w:bCs/>
                <w:color w:val="5C6B7A"/>
                <w:sz w:val="15"/>
                <w:szCs w:val="15"/>
              </w:rPr>
              <w:t>TOTAL EMPLOYEES</w:t>
            </w:r>
          </w:p>
          <w:p w14:paraId="389A9A93">
            <w:pPr>
              <w:jc w:val="center"/>
            </w:pPr>
            <w:r>
              <w:rPr>
                <w:rFonts w:ascii="Cambria" w:hAnsi="Cambria" w:eastAsia="Cambria" w:cs="Cambria"/>
                <w:b/>
                <w:bCs/>
                <w:color w:val="065A82"/>
                <w:sz w:val="32"/>
                <w:szCs w:val="32"/>
              </w:rPr>
              <w:t>1,470</w:t>
            </w:r>
          </w:p>
        </w:tc>
        <w:tc>
          <w:tcPr>
            <w:tcW w:w="3116"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571DA7A5">
            <w:pPr>
              <w:spacing w:after="90"/>
              <w:jc w:val="center"/>
            </w:pPr>
            <w:r>
              <w:rPr>
                <w:rFonts w:ascii="Calibri" w:hAnsi="Calibri" w:eastAsia="Calibri" w:cs="Calibri"/>
                <w:b/>
                <w:bCs/>
                <w:color w:val="5C6B7A"/>
                <w:sz w:val="15"/>
                <w:szCs w:val="15"/>
              </w:rPr>
              <w:t>OVERALL ATTRITION RATE</w:t>
            </w:r>
          </w:p>
          <w:p w14:paraId="39104EBE">
            <w:pPr>
              <w:jc w:val="center"/>
            </w:pPr>
            <w:r>
              <w:rPr>
                <w:rFonts w:ascii="Cambria" w:hAnsi="Cambria" w:eastAsia="Cambria" w:cs="Cambria"/>
                <w:b/>
                <w:bCs/>
                <w:color w:val="065A82"/>
                <w:sz w:val="32"/>
                <w:szCs w:val="32"/>
              </w:rPr>
              <w:t>16.1%</w:t>
            </w:r>
          </w:p>
        </w:tc>
        <w:tc>
          <w:tcPr>
            <w:tcW w:w="3116"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56DDC728">
            <w:pPr>
              <w:spacing w:after="90"/>
              <w:jc w:val="center"/>
            </w:pPr>
            <w:r>
              <w:rPr>
                <w:rFonts w:ascii="Calibri" w:hAnsi="Calibri" w:eastAsia="Calibri" w:cs="Calibri"/>
                <w:b/>
                <w:bCs/>
                <w:color w:val="5C6B7A"/>
                <w:sz w:val="15"/>
                <w:szCs w:val="15"/>
              </w:rPr>
              <w:t>EMPLOYEES WHO LEFT</w:t>
            </w:r>
          </w:p>
          <w:p w14:paraId="5D35A184">
            <w:pPr>
              <w:jc w:val="center"/>
            </w:pPr>
            <w:r>
              <w:rPr>
                <w:rFonts w:ascii="Cambria" w:hAnsi="Cambria" w:eastAsia="Cambria" w:cs="Cambria"/>
                <w:b/>
                <w:bCs/>
                <w:color w:val="065A82"/>
                <w:sz w:val="32"/>
                <w:szCs w:val="32"/>
              </w:rPr>
              <w:t>237</w:t>
            </w:r>
          </w:p>
        </w:tc>
      </w:tr>
    </w:tbl>
    <w:p w14:paraId="75E916D5">
      <w:pPr>
        <w:spacing w:before="150" w:after="15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07DF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21295C"/>
            <w:tcMar>
              <w:top w:w="200" w:type="dxa"/>
              <w:left w:w="250" w:type="dxa"/>
              <w:bottom w:w="200" w:type="dxa"/>
              <w:right w:w="250" w:type="dxa"/>
            </w:tcMar>
            <w:vAlign w:val="center"/>
          </w:tcPr>
          <w:p w14:paraId="6CBE0B74">
            <w:r>
              <w:rPr>
                <w:rFonts w:ascii="Calibri" w:hAnsi="Calibri" w:eastAsia="Calibri" w:cs="Calibri"/>
                <w:b/>
                <w:bCs/>
                <w:color w:val="FFFFFF"/>
                <w:sz w:val="22"/>
                <w:szCs w:val="22"/>
              </w:rPr>
              <w:t>KEY FINDING:  16.1% overall attrition (237 of 1,470 employees) sets the baseline against which every driver and segment below is compared.</w:t>
            </w:r>
          </w:p>
        </w:tc>
      </w:tr>
    </w:tbl>
    <w:p w14:paraId="7EEA085D">
      <w:pPr>
        <w:spacing w:after="100"/>
      </w:pPr>
    </w:p>
    <w:p w14:paraId="36F6B150">
      <w:pPr>
        <w:spacing w:before="100" w:after="90"/>
        <w:jc w:val="center"/>
      </w:pPr>
      <w:r>
        <w:drawing>
          <wp:inline distT="0" distB="0" distL="0" distR="0">
            <wp:extent cx="5905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5905500" cy="2762250"/>
                    </a:xfrm>
                    <a:prstGeom prst="rect">
                      <a:avLst/>
                    </a:prstGeom>
                  </pic:spPr>
                </pic:pic>
              </a:graphicData>
            </a:graphic>
          </wp:inline>
        </w:drawing>
      </w:r>
    </w:p>
    <w:p w14:paraId="79D8894F">
      <w:pPr>
        <w:spacing w:after="200"/>
        <w:jc w:val="center"/>
      </w:pPr>
      <w:r>
        <w:rPr>
          <w:rFonts w:ascii="Calibri" w:hAnsi="Calibri" w:eastAsia="Calibri" w:cs="Calibri"/>
          <w:i/>
          <w:iCs/>
          <w:color w:val="5C6B7A"/>
          <w:sz w:val="20"/>
          <w:szCs w:val="20"/>
        </w:rPr>
        <w:t>Figure 1 — Executive Overview tab of the dashboard, showing top-level KPIs.</w:t>
      </w:r>
    </w:p>
    <w:p w14:paraId="7274C811">
      <w:pPr>
        <w:keepNext/>
        <w:keepLines/>
        <w:spacing w:before="320" w:after="130"/>
      </w:pPr>
      <w:r>
        <w:rPr>
          <w:rFonts w:ascii="Cambria" w:hAnsi="Cambria" w:eastAsia="Cambria" w:cs="Cambria"/>
          <w:b/>
          <w:bCs/>
          <w:color w:val="1C7293"/>
          <w:sz w:val="26"/>
          <w:szCs w:val="26"/>
        </w:rPr>
        <w:t>4.2 Overtime</w:t>
      </w:r>
    </w:p>
    <w:p w14:paraId="1AD57BEA">
      <w:pPr>
        <w:spacing w:after="150"/>
      </w:pPr>
      <w:r>
        <w:rPr>
          <w:rFonts w:ascii="Calibri" w:hAnsi="Calibri" w:eastAsia="Calibri" w:cs="Calibri"/>
          <w:color w:val="1B2A3A"/>
        </w:rPr>
        <w:t>Employees who work overtime leave at nearly three times the rate of those who don't — 30.5% compared to 10.4%. This is a large observed difference between the two groups. It is an association, and does not by itself show that overtime causes employees to leave.</w:t>
      </w:r>
    </w:p>
    <w:p w14:paraId="504D7E99">
      <w:pPr>
        <w:keepNext/>
        <w:keepLines/>
        <w:spacing w:before="320" w:after="130"/>
      </w:pPr>
      <w:r>
        <w:rPr>
          <w:rFonts w:ascii="Cambria" w:hAnsi="Cambria" w:eastAsia="Cambria" w:cs="Cambria"/>
          <w:b/>
          <w:bCs/>
          <w:color w:val="1C7293"/>
          <w:sz w:val="26"/>
          <w:szCs w:val="26"/>
        </w:rPr>
        <w:t>4.3 Income</w:t>
      </w:r>
    </w:p>
    <w:p w14:paraId="0FBF7819">
      <w:pPr>
        <w:spacing w:after="150"/>
      </w:pPr>
      <w:r>
        <w:rPr>
          <w:rFonts w:ascii="Calibri" w:hAnsi="Calibri" w:eastAsia="Calibri" w:cs="Calibri"/>
          <w:color w:val="1B2A3A"/>
        </w:rPr>
        <w:t>Employees in the lowest income quartile leave at 29.3%, compared to roughly 10–14% across the top three quartiles. This shows that attrition is higher among the lowest-paid group in this dataset; because the analysis compares income quartiles only, it does not establish the reason.</w:t>
      </w:r>
    </w:p>
    <w:p w14:paraId="6E3BF2BD">
      <w:pPr>
        <w:spacing w:before="100" w:after="90"/>
        <w:jc w:val="center"/>
      </w:pPr>
      <w:r>
        <w:drawing>
          <wp:inline distT="0" distB="0" distL="0" distR="0">
            <wp:extent cx="5905500" cy="2713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5905500" cy="2714166"/>
                    </a:xfrm>
                    <a:prstGeom prst="rect">
                      <a:avLst/>
                    </a:prstGeom>
                  </pic:spPr>
                </pic:pic>
              </a:graphicData>
            </a:graphic>
          </wp:inline>
        </w:drawing>
      </w:r>
    </w:p>
    <w:p w14:paraId="5762D55E">
      <w:pPr>
        <w:spacing w:after="200"/>
        <w:jc w:val="center"/>
      </w:pPr>
      <w:r>
        <w:rPr>
          <w:rFonts w:ascii="Calibri" w:hAnsi="Calibri" w:eastAsia="Calibri" w:cs="Calibri"/>
          <w:i/>
          <w:iCs/>
          <w:color w:val="5C6B7A"/>
          <w:sz w:val="20"/>
          <w:szCs w:val="20"/>
        </w:rPr>
        <w:t>Figure 2 — Attrition rate by overtime status and by income quartile.</w:t>
      </w:r>
    </w:p>
    <w:p w14:paraId="4C311D07">
      <w:pPr>
        <w:keepNext/>
        <w:keepLines/>
        <w:spacing w:before="320" w:after="130"/>
      </w:pPr>
      <w:r>
        <w:rPr>
          <w:rFonts w:ascii="Cambria" w:hAnsi="Cambria" w:eastAsia="Cambria" w:cs="Cambria"/>
          <w:b/>
          <w:bCs/>
          <w:color w:val="1C7293"/>
          <w:sz w:val="26"/>
          <w:szCs w:val="26"/>
        </w:rPr>
        <w:t>4.4 Job Role</w:t>
      </w:r>
    </w:p>
    <w:p w14:paraId="5450C1F9">
      <w:pPr>
        <w:spacing w:after="150"/>
      </w:pPr>
      <w:r>
        <w:rPr>
          <w:rFonts w:ascii="Calibri" w:hAnsi="Calibri" w:eastAsia="Calibri" w:cs="Calibri"/>
          <w:color w:val="1B2A3A"/>
        </w:rPr>
        <w:t>Attrition is heavily concentrated by role. Sales Representatives show the highest attrition of any role at 39.8%, followed by Laboratory Technicians (23.9%) and Human Resources (23.1%). In contrast, Research Directors and Managers show attrition below 5%.</w:t>
      </w:r>
    </w:p>
    <w:p w14:paraId="5A70F4DB">
      <w:pPr>
        <w:spacing w:before="100" w:after="90"/>
        <w:jc w:val="center"/>
      </w:pPr>
      <w:r>
        <w:drawing>
          <wp:inline distT="0" distB="0" distL="0" distR="0">
            <wp:extent cx="5905500" cy="2752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5905500" cy="2752725"/>
                    </a:xfrm>
                    <a:prstGeom prst="rect">
                      <a:avLst/>
                    </a:prstGeom>
                  </pic:spPr>
                </pic:pic>
              </a:graphicData>
            </a:graphic>
          </wp:inline>
        </w:drawing>
      </w:r>
    </w:p>
    <w:p w14:paraId="6685B64E">
      <w:pPr>
        <w:spacing w:after="200"/>
        <w:jc w:val="center"/>
      </w:pPr>
      <w:r>
        <w:rPr>
          <w:rFonts w:ascii="Calibri" w:hAnsi="Calibri" w:eastAsia="Calibri" w:cs="Calibri"/>
          <w:i/>
          <w:iCs/>
          <w:color w:val="5C6B7A"/>
          <w:sz w:val="20"/>
          <w:szCs w:val="20"/>
        </w:rPr>
        <w:t>Figure 3 — Attrition rate by job role, sorted from highest to lowest.</w:t>
      </w:r>
    </w:p>
    <w:p w14:paraId="721E591D">
      <w:pPr>
        <w:keepNext/>
        <w:keepLines/>
        <w:spacing w:before="320" w:after="130"/>
      </w:pPr>
      <w:r>
        <w:rPr>
          <w:rFonts w:ascii="Cambria" w:hAnsi="Cambria" w:eastAsia="Cambria" w:cs="Cambria"/>
          <w:b/>
          <w:bCs/>
          <w:color w:val="1C7293"/>
          <w:sz w:val="26"/>
          <w:szCs w:val="26"/>
        </w:rPr>
        <w:t>4.5 Tenure</w:t>
      </w:r>
    </w:p>
    <w:p w14:paraId="40A9BB60">
      <w:pPr>
        <w:spacing w:after="150"/>
      </w:pPr>
      <w:r>
        <w:rPr>
          <w:rFonts w:ascii="Calibri" w:hAnsi="Calibri" w:eastAsia="Calibri" w:cs="Calibri"/>
          <w:color w:val="1B2A3A"/>
        </w:rPr>
        <w:t>Observed attrition is highest early in tenure: employees in their first year show a 34.9% attrition rate, falling steadily across the tenure groups (0–1, 2–3, 4–6, 7–9, and 10+ years) to 10.4% for employees with 10 or more years of tenure. This pattern reflects risk across the employee lifecycle rather than a change over calendar time, since the dataset is a single snapshot rather than multi-year tracking data.</w:t>
      </w:r>
    </w:p>
    <w:p w14:paraId="176963F7">
      <w:pPr>
        <w:keepNext/>
        <w:keepLines/>
        <w:spacing w:before="550" w:after="160"/>
      </w:pPr>
      <w:r>
        <w:rPr>
          <w:rFonts w:ascii="Cambria" w:hAnsi="Cambria" w:eastAsia="Cambria" w:cs="Cambria"/>
          <w:b/>
          <w:bCs/>
          <w:color w:val="065A82"/>
          <w:sz w:val="34"/>
          <w:szCs w:val="34"/>
        </w:rPr>
        <w:t>5. High-Risk Compound Segment</w:t>
      </w:r>
    </w:p>
    <w:p w14:paraId="7261ED6D">
      <w:pPr>
        <w:keepNext/>
        <w:keepLines/>
        <w:spacing w:before="320" w:after="130"/>
      </w:pPr>
      <w:r>
        <w:rPr>
          <w:rFonts w:ascii="Cambria" w:hAnsi="Cambria" w:eastAsia="Cambria" w:cs="Cambria"/>
          <w:b/>
          <w:bCs/>
          <w:color w:val="1C7293"/>
          <w:sz w:val="26"/>
          <w:szCs w:val="26"/>
        </w:rPr>
        <w:t>5.1 Segment Definition</w:t>
      </w:r>
    </w:p>
    <w:p w14:paraId="085C09C0">
      <w:pPr>
        <w:spacing w:after="150"/>
      </w:pPr>
      <w:r>
        <w:rPr>
          <w:rFonts w:ascii="Calibri" w:hAnsi="Calibri" w:eastAsia="Calibri" w:cs="Calibri"/>
          <w:color w:val="1B2A3A"/>
        </w:rPr>
        <w:t>The individual drivers above were combined to test whether specific employees carry compounded risk. The segment was defined as employees who simultaneously: work overtime, have three years or less of tenure, and hold an entry-level position (Job Level 1).</w:t>
      </w:r>
    </w:p>
    <w:p w14:paraId="4D08AB18">
      <w:pPr>
        <w:keepNext/>
        <w:keepLines/>
        <w:spacing w:before="320" w:after="130"/>
      </w:pPr>
      <w:r>
        <w:rPr>
          <w:rFonts w:ascii="Cambria" w:hAnsi="Cambria" w:eastAsia="Cambria" w:cs="Cambria"/>
          <w:b/>
          <w:bCs/>
          <w:color w:val="1C7293"/>
          <w:sz w:val="26"/>
          <w:szCs w:val="26"/>
        </w:rPr>
        <w:t>5.2 Results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7"/>
        <w:gridCol w:w="3117"/>
      </w:tblGrid>
      <w:tr w14:paraId="5939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474D6AD7">
            <w:pPr>
              <w:spacing w:after="90"/>
              <w:jc w:val="center"/>
            </w:pPr>
            <w:r>
              <w:rPr>
                <w:rFonts w:ascii="Calibri" w:hAnsi="Calibri" w:eastAsia="Calibri" w:cs="Calibri"/>
                <w:b/>
                <w:bCs/>
                <w:color w:val="5C6B7A"/>
                <w:sz w:val="15"/>
                <w:szCs w:val="15"/>
              </w:rPr>
              <w:t>SEGMENT SIZE</w:t>
            </w:r>
          </w:p>
          <w:p w14:paraId="0070CF9C">
            <w:pPr>
              <w:jc w:val="center"/>
            </w:pPr>
            <w:r>
              <w:rPr>
                <w:rFonts w:ascii="Cambria" w:hAnsi="Cambria" w:eastAsia="Cambria" w:cs="Cambria"/>
                <w:b/>
                <w:bCs/>
                <w:color w:val="065A82"/>
                <w:sz w:val="32"/>
                <w:szCs w:val="32"/>
              </w:rPr>
              <w:t>86 (5.9%)</w:t>
            </w:r>
          </w:p>
        </w:tc>
        <w:tc>
          <w:tcPr>
            <w:tcW w:w="3116"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3802A35B">
            <w:pPr>
              <w:spacing w:after="90"/>
              <w:jc w:val="center"/>
            </w:pPr>
            <w:r>
              <w:rPr>
                <w:rFonts w:ascii="Calibri" w:hAnsi="Calibri" w:eastAsia="Calibri" w:cs="Calibri"/>
                <w:b/>
                <w:bCs/>
                <w:color w:val="5C6B7A"/>
                <w:sz w:val="15"/>
                <w:szCs w:val="15"/>
              </w:rPr>
              <w:t>SEGMENT ATTRITION RATE</w:t>
            </w:r>
          </w:p>
          <w:p w14:paraId="0660D50C">
            <w:pPr>
              <w:jc w:val="center"/>
            </w:pPr>
            <w:r>
              <w:rPr>
                <w:rFonts w:ascii="Cambria" w:hAnsi="Cambria" w:eastAsia="Cambria" w:cs="Cambria"/>
                <w:b/>
                <w:bCs/>
                <w:color w:val="065A82"/>
                <w:sz w:val="32"/>
                <w:szCs w:val="32"/>
              </w:rPr>
              <w:t>59.3%</w:t>
            </w:r>
          </w:p>
        </w:tc>
        <w:tc>
          <w:tcPr>
            <w:tcW w:w="3116"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2D74B2AB">
            <w:pPr>
              <w:spacing w:after="90"/>
              <w:jc w:val="center"/>
            </w:pPr>
            <w:r>
              <w:rPr>
                <w:rFonts w:ascii="Calibri" w:hAnsi="Calibri" w:eastAsia="Calibri" w:cs="Calibri"/>
                <w:b/>
                <w:bCs/>
                <w:color w:val="5C6B7A"/>
                <w:sz w:val="15"/>
                <w:szCs w:val="15"/>
              </w:rPr>
              <w:t>COMPANY AVERAGE</w:t>
            </w:r>
          </w:p>
          <w:p w14:paraId="376BF40F">
            <w:pPr>
              <w:jc w:val="center"/>
            </w:pPr>
            <w:r>
              <w:rPr>
                <w:rFonts w:ascii="Cambria" w:hAnsi="Cambria" w:eastAsia="Cambria" w:cs="Cambria"/>
                <w:b/>
                <w:bCs/>
                <w:color w:val="065A82"/>
                <w:sz w:val="32"/>
                <w:szCs w:val="32"/>
              </w:rPr>
              <w:t>16.1%</w:t>
            </w:r>
          </w:p>
        </w:tc>
      </w:tr>
    </w:tbl>
    <w:p w14:paraId="35422BD7">
      <w:pPr>
        <w:spacing w:before="150" w:after="150"/>
      </w:pPr>
    </w:p>
    <w:p w14:paraId="72BD59C8">
      <w:pPr>
        <w:keepNext/>
        <w:keepLines/>
        <w:spacing w:before="320" w:after="130"/>
      </w:pPr>
      <w:r>
        <w:rPr>
          <w:rFonts w:ascii="Cambria" w:hAnsi="Cambria" w:eastAsia="Cambria" w:cs="Cambria"/>
          <w:b/>
          <w:bCs/>
          <w:color w:val="1C7293"/>
          <w:sz w:val="26"/>
          <w:szCs w:val="26"/>
        </w:rPr>
        <w:t>5.3 Disproportionate Impact</w:t>
      </w:r>
    </w:p>
    <w:p w14:paraId="5415EBE3">
      <w:pPr>
        <w:spacing w:after="150"/>
      </w:pPr>
      <w:r>
        <w:rPr>
          <w:rFonts w:ascii="Calibri" w:hAnsi="Calibri" w:eastAsia="Calibri" w:cs="Calibri"/>
          <w:color w:val="1B2A3A"/>
        </w:rPr>
        <w:t>Of the 237 employees who left, 51 (21.5%) came from this single 86-person group — meaning just 5.9% of the workforce accounts for over a fifth of all attrition.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54B8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21295C"/>
            <w:tcMar>
              <w:top w:w="200" w:type="dxa"/>
              <w:left w:w="250" w:type="dxa"/>
              <w:bottom w:w="200" w:type="dxa"/>
              <w:right w:w="250" w:type="dxa"/>
            </w:tcMar>
            <w:vAlign w:val="center"/>
          </w:tcPr>
          <w:p w14:paraId="762A30AE">
            <w:r>
              <w:rPr>
                <w:rFonts w:ascii="Calibri" w:hAnsi="Calibri" w:eastAsia="Calibri" w:cs="Calibri"/>
                <w:b/>
                <w:bCs/>
                <w:color w:val="FFFFFF"/>
                <w:sz w:val="22"/>
                <w:szCs w:val="22"/>
              </w:rPr>
              <w:t>KEY FINDING:  86 employees (5.9% of the workforce) account for 21.5% of all attrition — a priority group for a targeted retention intervention.</w:t>
            </w:r>
          </w:p>
        </w:tc>
      </w:tr>
    </w:tbl>
    <w:p w14:paraId="3C5227DF">
      <w:pPr>
        <w:spacing w:after="150"/>
      </w:pPr>
    </w:p>
    <w:p w14:paraId="3194CA8D">
      <w:pPr>
        <w:spacing w:before="100" w:after="90"/>
        <w:jc w:val="center"/>
      </w:pPr>
      <w:r>
        <w:drawing>
          <wp:inline distT="0" distB="0" distL="0" distR="0">
            <wp:extent cx="5905500" cy="2867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5905500" cy="2867025"/>
                    </a:xfrm>
                    <a:prstGeom prst="rect">
                      <a:avLst/>
                    </a:prstGeom>
                  </pic:spPr>
                </pic:pic>
              </a:graphicData>
            </a:graphic>
          </wp:inline>
        </w:drawing>
      </w:r>
    </w:p>
    <w:p w14:paraId="47177163">
      <w:pPr>
        <w:spacing w:after="200"/>
        <w:jc w:val="center"/>
      </w:pPr>
      <w:r>
        <w:rPr>
          <w:rFonts w:ascii="Calibri" w:hAnsi="Calibri" w:eastAsia="Calibri" w:cs="Calibri"/>
          <w:i/>
          <w:iCs/>
          <w:color w:val="5C6B7A"/>
          <w:sz w:val="20"/>
          <w:szCs w:val="20"/>
        </w:rPr>
        <w:t>Figure 4 — Attrition rate: company average vs. the high-risk compound segment.</w:t>
      </w:r>
    </w:p>
    <w:p w14:paraId="11F1B716">
      <w:pPr>
        <w:keepNext/>
        <w:keepLines/>
        <w:spacing w:before="320" w:after="130"/>
      </w:pPr>
      <w:r>
        <w:rPr>
          <w:rFonts w:ascii="Cambria" w:hAnsi="Cambria" w:eastAsia="Cambria" w:cs="Cambria"/>
          <w:b/>
          <w:bCs/>
          <w:color w:val="1C7293"/>
          <w:sz w:val="26"/>
          <w:szCs w:val="26"/>
        </w:rPr>
        <w:t>5.4 Business Significance</w:t>
      </w:r>
    </w:p>
    <w:p w14:paraId="43EFD69F">
      <w:pPr>
        <w:spacing w:after="150"/>
      </w:pPr>
      <w:r>
        <w:rPr>
          <w:rFonts w:ascii="Calibri" w:hAnsi="Calibri" w:eastAsia="Calibri" w:cs="Calibri"/>
          <w:color w:val="1B2A3A"/>
        </w:rPr>
        <w:t>This finding reframes the retention problem from a broad, workforce-wide issue into a narrow, addressable one. Rather than a generic retention initiative, management can direct resources toward a specific, identifiable group with a very high concentration of risk — which could allow intervention effort to be more focused, although this project has not tested whether doing so would improve retention.</w:t>
      </w:r>
    </w:p>
    <w:p w14:paraId="05538AA6">
      <w:pPr>
        <w:keepNext/>
        <w:keepLines/>
        <w:spacing w:before="550" w:after="160"/>
      </w:pPr>
      <w:r>
        <w:rPr>
          <w:rFonts w:ascii="Cambria" w:hAnsi="Cambria" w:eastAsia="Cambria" w:cs="Cambria"/>
          <w:b/>
          <w:bCs/>
          <w:color w:val="065A82"/>
          <w:sz w:val="34"/>
          <w:szCs w:val="34"/>
        </w:rPr>
        <w:t>6. Predictive Modelling — Logistic Regression</w:t>
      </w:r>
    </w:p>
    <w:p w14:paraId="4AC69958">
      <w:pPr>
        <w:keepNext/>
        <w:keepLines/>
        <w:spacing w:before="320" w:after="130"/>
      </w:pPr>
      <w:r>
        <w:rPr>
          <w:rFonts w:ascii="Cambria" w:hAnsi="Cambria" w:eastAsia="Cambria" w:cs="Cambria"/>
          <w:b/>
          <w:bCs/>
          <w:color w:val="1C7293"/>
          <w:sz w:val="26"/>
          <w:szCs w:val="26"/>
        </w:rPr>
        <w:t>6.1 Model Choice Rationale</w:t>
      </w:r>
    </w:p>
    <w:p w14:paraId="6CCD75C9">
      <w:pPr>
        <w:spacing w:after="150"/>
      </w:pPr>
      <w:r>
        <w:rPr>
          <w:rFonts w:ascii="Calibri" w:hAnsi="Calibri" w:eastAsia="Calibri" w:cs="Calibri"/>
          <w:color w:val="1B2A3A"/>
        </w:rPr>
        <w:t>Logistic Regression was selected specifically for its explainability. Since the goal of this project is to help management understand and act on drivers of attrition, a model whose coefficients can be directly interpreted is more valuable here than a more complex model that might achieve marginally higher accuracy at the cost of transparency.</w:t>
      </w:r>
    </w:p>
    <w:p w14:paraId="285C4467">
      <w:pPr>
        <w:keepNext/>
        <w:keepLines/>
        <w:spacing w:before="320" w:after="130"/>
      </w:pPr>
      <w:r>
        <w:rPr>
          <w:rFonts w:ascii="Cambria" w:hAnsi="Cambria" w:eastAsia="Cambria" w:cs="Cambria"/>
          <w:b/>
          <w:bCs/>
          <w:color w:val="1C7293"/>
          <w:sz w:val="26"/>
          <w:szCs w:val="26"/>
        </w:rPr>
        <w:t>6.2 – 6.4 Methodology</w:t>
      </w:r>
    </w:p>
    <w:p w14:paraId="24202CD9">
      <w:pPr>
        <w:pStyle w:val="16"/>
        <w:numPr>
          <w:ilvl w:val="0"/>
          <w:numId w:val="1"/>
        </w:numPr>
        <w:spacing w:after="100"/>
      </w:pPr>
      <w:r>
        <w:rPr>
          <w:rFonts w:ascii="Calibri" w:hAnsi="Calibri" w:eastAsia="Calibri" w:cs="Calibri"/>
          <w:b w:val="0"/>
          <w:bCs w:val="0"/>
          <w:color w:val="1B2A3A"/>
        </w:rPr>
        <w:t>Categorical variables were one-hot encoded; numeric features were standardised using StandardScaler.</w:t>
      </w:r>
    </w:p>
    <w:p w14:paraId="20258DF5">
      <w:pPr>
        <w:pStyle w:val="16"/>
        <w:numPr>
          <w:ilvl w:val="0"/>
          <w:numId w:val="1"/>
        </w:numPr>
        <w:spacing w:after="100"/>
      </w:pPr>
      <w:r>
        <w:rPr>
          <w:rFonts w:ascii="Calibri" w:hAnsi="Calibri" w:eastAsia="Calibri" w:cs="Calibri"/>
          <w:b w:val="0"/>
          <w:bCs w:val="0"/>
          <w:color w:val="1B2A3A"/>
        </w:rPr>
        <w:t>Data was split 75% train / 25% test, using stratified sampling to preserve the attrition rate in both sets, with a fixed random seed (random_state=42) for reproducibility.</w:t>
      </w:r>
    </w:p>
    <w:p w14:paraId="7A9B37BD">
      <w:pPr>
        <w:pStyle w:val="16"/>
        <w:numPr>
          <w:ilvl w:val="0"/>
          <w:numId w:val="1"/>
        </w:numPr>
        <w:spacing w:after="100"/>
      </w:pPr>
      <w:r>
        <w:rPr>
          <w:rFonts w:ascii="Calibri" w:hAnsi="Calibri" w:eastAsia="Calibri" w:cs="Calibri"/>
          <w:b w:val="0"/>
          <w:bCs w:val="0"/>
          <w:color w:val="1B2A3A"/>
        </w:rPr>
        <w:t>Because only ~16% of employees left, class_weight="balanced" was used so the model does not simply default to predicting "stays" for everyone.</w:t>
      </w:r>
    </w:p>
    <w:p w14:paraId="287F4FAE">
      <w:pPr>
        <w:keepNext/>
        <w:keepLines/>
        <w:spacing w:before="320" w:after="130"/>
      </w:pPr>
      <w:r>
        <w:rPr>
          <w:rFonts w:ascii="Cambria" w:hAnsi="Cambria" w:eastAsia="Cambria" w:cs="Cambria"/>
          <w:b/>
          <w:bCs/>
          <w:color w:val="1C7293"/>
          <w:sz w:val="26"/>
          <w:szCs w:val="26"/>
        </w:rPr>
        <w:t>6.5 Results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7"/>
        <w:gridCol w:w="2337"/>
        <w:gridCol w:w="2338"/>
        <w:gridCol w:w="2338"/>
      </w:tblGrid>
      <w:tr w14:paraId="16000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243B9289">
            <w:pPr>
              <w:spacing w:after="90"/>
              <w:jc w:val="center"/>
            </w:pPr>
            <w:r>
              <w:rPr>
                <w:rFonts w:ascii="Calibri" w:hAnsi="Calibri" w:eastAsia="Calibri" w:cs="Calibri"/>
                <w:b/>
                <w:bCs/>
                <w:color w:val="5C6B7A"/>
                <w:sz w:val="15"/>
                <w:szCs w:val="15"/>
              </w:rPr>
              <w:t>ACCURACY</w:t>
            </w:r>
          </w:p>
          <w:p w14:paraId="3707AC5D">
            <w:pPr>
              <w:jc w:val="center"/>
            </w:pPr>
            <w:r>
              <w:rPr>
                <w:rFonts w:ascii="Cambria" w:hAnsi="Cambria" w:eastAsia="Cambria" w:cs="Cambria"/>
                <w:b/>
                <w:bCs/>
                <w:color w:val="065A82"/>
                <w:sz w:val="32"/>
                <w:szCs w:val="32"/>
              </w:rPr>
              <w:t>77.7%</w:t>
            </w:r>
          </w:p>
        </w:tc>
        <w:tc>
          <w:tcPr>
            <w:tcW w:w="2337"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122FE26C">
            <w:pPr>
              <w:spacing w:after="90"/>
              <w:jc w:val="center"/>
            </w:pPr>
            <w:r>
              <w:rPr>
                <w:rFonts w:ascii="Calibri" w:hAnsi="Calibri" w:eastAsia="Calibri" w:cs="Calibri"/>
                <w:b/>
                <w:bCs/>
                <w:color w:val="5C6B7A"/>
                <w:sz w:val="15"/>
                <w:szCs w:val="15"/>
              </w:rPr>
              <w:t>RECALL</w:t>
            </w:r>
          </w:p>
          <w:p w14:paraId="027B67D0">
            <w:pPr>
              <w:jc w:val="center"/>
            </w:pPr>
            <w:r>
              <w:rPr>
                <w:rFonts w:ascii="Cambria" w:hAnsi="Cambria" w:eastAsia="Cambria" w:cs="Cambria"/>
                <w:b/>
                <w:bCs/>
                <w:color w:val="065A82"/>
                <w:sz w:val="32"/>
                <w:szCs w:val="32"/>
              </w:rPr>
              <w:t>64.4%</w:t>
            </w:r>
          </w:p>
        </w:tc>
        <w:tc>
          <w:tcPr>
            <w:tcW w:w="2337"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27E030BE">
            <w:pPr>
              <w:spacing w:after="90"/>
              <w:jc w:val="center"/>
            </w:pPr>
            <w:r>
              <w:rPr>
                <w:rFonts w:ascii="Calibri" w:hAnsi="Calibri" w:eastAsia="Calibri" w:cs="Calibri"/>
                <w:b/>
                <w:bCs/>
                <w:color w:val="5C6B7A"/>
                <w:sz w:val="15"/>
                <w:szCs w:val="15"/>
              </w:rPr>
              <w:t>PRECISION</w:t>
            </w:r>
          </w:p>
          <w:p w14:paraId="0775EEDF">
            <w:pPr>
              <w:jc w:val="center"/>
            </w:pPr>
            <w:r>
              <w:rPr>
                <w:rFonts w:ascii="Cambria" w:hAnsi="Cambria" w:eastAsia="Cambria" w:cs="Cambria"/>
                <w:b/>
                <w:bCs/>
                <w:color w:val="065A82"/>
                <w:sz w:val="32"/>
                <w:szCs w:val="32"/>
              </w:rPr>
              <w:t>38.4%</w:t>
            </w:r>
          </w:p>
        </w:tc>
        <w:tc>
          <w:tcPr>
            <w:tcW w:w="2337" w:type="dxa"/>
            <w:tcBorders>
              <w:top w:val="single" w:color="DCE6EC" w:sz="4" w:space="0"/>
              <w:left w:val="single" w:color="DCE6EC" w:sz="4" w:space="0"/>
              <w:bottom w:val="single" w:color="DCE6EC" w:sz="4" w:space="0"/>
              <w:right w:val="single" w:color="DCE6EC" w:sz="4" w:space="0"/>
            </w:tcBorders>
            <w:shd w:val="clear" w:color="auto" w:fill="F3F7FA"/>
            <w:tcMar>
              <w:top w:w="220" w:type="dxa"/>
              <w:left w:w="150" w:type="dxa"/>
              <w:bottom w:w="220" w:type="dxa"/>
              <w:right w:w="150" w:type="dxa"/>
            </w:tcMar>
          </w:tcPr>
          <w:p w14:paraId="068C2C52">
            <w:pPr>
              <w:spacing w:after="90"/>
              <w:jc w:val="center"/>
            </w:pPr>
            <w:r>
              <w:rPr>
                <w:rFonts w:ascii="Calibri" w:hAnsi="Calibri" w:eastAsia="Calibri" w:cs="Calibri"/>
                <w:b/>
                <w:bCs/>
                <w:color w:val="5C6B7A"/>
                <w:sz w:val="15"/>
                <w:szCs w:val="15"/>
              </w:rPr>
              <w:t>F1 SCORE</w:t>
            </w:r>
          </w:p>
          <w:p w14:paraId="0AAFA65B">
            <w:pPr>
              <w:jc w:val="center"/>
            </w:pPr>
            <w:r>
              <w:rPr>
                <w:rFonts w:ascii="Cambria" w:hAnsi="Cambria" w:eastAsia="Cambria" w:cs="Cambria"/>
                <w:b/>
                <w:bCs/>
                <w:color w:val="065A82"/>
                <w:sz w:val="32"/>
                <w:szCs w:val="32"/>
              </w:rPr>
              <w:t>48.1%</w:t>
            </w:r>
          </w:p>
        </w:tc>
      </w:tr>
    </w:tbl>
    <w:p w14:paraId="7FCE523C">
      <w:pPr>
        <w:spacing w:before="150" w:after="15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3244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21295C"/>
            <w:tcMar>
              <w:top w:w="200" w:type="dxa"/>
              <w:left w:w="250" w:type="dxa"/>
              <w:bottom w:w="200" w:type="dxa"/>
              <w:right w:w="250" w:type="dxa"/>
            </w:tcMar>
            <w:vAlign w:val="center"/>
          </w:tcPr>
          <w:p w14:paraId="3FF2EE57">
            <w:r>
              <w:rPr>
                <w:rFonts w:ascii="Calibri" w:hAnsi="Calibri" w:eastAsia="Calibri" w:cs="Calibri"/>
                <w:b/>
                <w:bCs/>
                <w:color w:val="FFFFFF"/>
                <w:sz w:val="22"/>
                <w:szCs w:val="22"/>
              </w:rPr>
              <w:t>KEY FINDING:  The model's results are consistent with the drivers found through direct analysis — a Recall of 64.4% means it identified nearly two-thirds of the actual leavers in the test set.</w:t>
            </w:r>
          </w:p>
        </w:tc>
      </w:tr>
    </w:tbl>
    <w:p w14:paraId="7E070885">
      <w:pPr>
        <w:spacing w:after="100"/>
      </w:pPr>
    </w:p>
    <w:p w14:paraId="4D61B2EF">
      <w:pPr>
        <w:spacing w:after="150"/>
      </w:pPr>
      <w:r>
        <w:rPr>
          <w:rFonts w:ascii="Calibri" w:hAnsi="Calibri" w:eastAsia="Calibri" w:cs="Calibri"/>
          <w:color w:val="1B2A3A"/>
        </w:rPr>
        <w:t>Recall is the most business-relevant metric here: of the employees in the test set who genuinely left, the model correctly flagged 64.4% of them. Precision is lower (38.4%), meaning the model over-flags some employees who ultimately stayed — which may be an acceptable trade-off for a screening tool if missing a true leaver is considered costlier than a false alarm. Accuracy is less informative here: because only about 16% of employees left, a model that predicted "stays" for everyone would score 84.0% accuracy on this test set (368 employees, 59 of whom left), so the 77.7% accuracy should be read alongside recall and precision, and all four figures are indicative rather than precise.</w:t>
      </w:r>
    </w:p>
    <w:p w14:paraId="3A5AB041">
      <w:pPr>
        <w:spacing w:before="100" w:after="90"/>
        <w:jc w:val="center"/>
      </w:pPr>
      <w:r>
        <w:drawing>
          <wp:inline distT="0" distB="0" distL="0" distR="0">
            <wp:extent cx="5905500" cy="2432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5905500" cy="2432977"/>
                    </a:xfrm>
                    <a:prstGeom prst="rect">
                      <a:avLst/>
                    </a:prstGeom>
                  </pic:spPr>
                </pic:pic>
              </a:graphicData>
            </a:graphic>
          </wp:inline>
        </w:drawing>
      </w:r>
    </w:p>
    <w:p w14:paraId="461B0994">
      <w:pPr>
        <w:spacing w:after="200"/>
        <w:jc w:val="center"/>
      </w:pPr>
      <w:r>
        <w:rPr>
          <w:rFonts w:ascii="Calibri" w:hAnsi="Calibri" w:eastAsia="Calibri" w:cs="Calibri"/>
          <w:i/>
          <w:iCs/>
          <w:color w:val="5C6B7A"/>
          <w:sz w:val="20"/>
          <w:szCs w:val="20"/>
        </w:rPr>
        <w:t>Figure 5 — Model performance metrics and top risk-increasing / protective factors.</w:t>
      </w:r>
    </w:p>
    <w:p w14:paraId="3E57CAAA">
      <w:pPr>
        <w:keepNext/>
        <w:keepLines/>
        <w:spacing w:before="320" w:after="130"/>
      </w:pPr>
      <w:r>
        <w:rPr>
          <w:rFonts w:ascii="Cambria" w:hAnsi="Cambria" w:eastAsia="Cambria" w:cs="Cambria"/>
          <w:b/>
          <w:bCs/>
          <w:color w:val="1C7293"/>
          <w:sz w:val="26"/>
          <w:szCs w:val="26"/>
        </w:rPr>
        <w:t>6.6 Top Coefficients</w:t>
      </w:r>
    </w:p>
    <w:p w14:paraId="2070B406">
      <w:pPr>
        <w:spacing w:after="150"/>
      </w:pPr>
      <w:r>
        <w:rPr>
          <w:rFonts w:ascii="Calibri" w:hAnsi="Calibri" w:eastAsia="Calibri" w:cs="Calibri"/>
          <w:color w:val="1B2A3A"/>
        </w:rPr>
        <w:t>The model's results are consistent with several factors already seen in the exploratory analysis — overtime, frequent travel, and Sales roles all appear among the top risk-increasing factors. It also surfaced Laboratory Technician as a notable risk factor once other variables are controlled for, worth flagging for further HR investigation. JobLevel also appears among the risk-increasing coefficients, which differs from the direct comparison where Job Level 1 shows the highest attrition; because the model estimates each factor while holding the others constant, and JobLevel is closely related to income and experience, the two views should not be read as directly comparable. Protective factors include long tenure with a current manager, higher satisfaction scores, and greater total working experience.</w:t>
      </w:r>
    </w:p>
    <w:p w14:paraId="03690FD8">
      <w:pPr>
        <w:keepNext/>
        <w:keepLines/>
        <w:spacing w:before="320" w:after="130"/>
      </w:pPr>
      <w:r>
        <w:rPr>
          <w:rFonts w:ascii="Cambria" w:hAnsi="Cambria" w:eastAsia="Cambria" w:cs="Cambria"/>
          <w:b/>
          <w:bCs/>
          <w:color w:val="1C7293"/>
          <w:sz w:val="26"/>
          <w:szCs w:val="26"/>
        </w:rPr>
        <w:t>6.7 Role of the Model</w:t>
      </w:r>
    </w:p>
    <w:p w14:paraId="565A8304">
      <w:pPr>
        <w:spacing w:after="150"/>
      </w:pPr>
      <w:r>
        <w:rPr>
          <w:rFonts w:ascii="Calibri" w:hAnsi="Calibri" w:eastAsia="Calibri" w:cs="Calibri"/>
          <w:color w:val="1B2A3A"/>
        </w:rPr>
        <w:t xml:space="preserve">This model is used as a </w:t>
      </w:r>
      <w:r>
        <w:rPr>
          <w:rFonts w:hint="default" w:ascii="Calibri" w:hAnsi="Calibri" w:eastAsia="Calibri" w:cs="Calibri"/>
          <w:color w:val="1B2A3A"/>
          <w:lang w:val="en-US"/>
        </w:rPr>
        <w:tab/>
      </w:r>
      <w:bookmarkStart w:id="0" w:name="_GoBack"/>
      <w:bookmarkEnd w:id="0"/>
      <w:r>
        <w:rPr>
          <w:rFonts w:ascii="Calibri" w:hAnsi="Calibri" w:eastAsia="Calibri" w:cs="Calibri"/>
          <w:color w:val="1B2A3A"/>
        </w:rPr>
        <w:t xml:space="preserve"> on top of the exploratory analysis, not as a replacement for it. Its purpose is to check whether the drivers identified through direct comparison still appear when the factors are considered together, not to serve as a standalone forecasting tool for individual employees. Its coefficients describe associations in this dataset and do not prove that any factor causes attrition.</w:t>
      </w:r>
    </w:p>
    <w:p w14:paraId="0C25E7DB">
      <w:pPr>
        <w:keepNext/>
        <w:keepLines/>
        <w:spacing w:before="550" w:after="160"/>
      </w:pPr>
      <w:r>
        <w:rPr>
          <w:rFonts w:ascii="Cambria" w:hAnsi="Cambria" w:eastAsia="Cambria" w:cs="Cambria"/>
          <w:b/>
          <w:bCs/>
          <w:color w:val="065A82"/>
          <w:sz w:val="34"/>
          <w:szCs w:val="34"/>
        </w:rPr>
        <w:t>7. Business Recommendations</w:t>
      </w:r>
    </w:p>
    <w:p w14:paraId="2008E4EA">
      <w:pPr>
        <w:spacing w:after="150"/>
      </w:pPr>
      <w:r>
        <w:rPr>
          <w:rFonts w:ascii="Calibri" w:hAnsi="Calibri" w:eastAsia="Calibri" w:cs="Calibri"/>
          <w:color w:val="1B2A3A"/>
        </w:rPr>
        <w:t>These are proposed actions for further investigation and evaluation. None of them has been tested in this project.</w:t>
      </w:r>
    </w:p>
    <w:p w14:paraId="4F9AFADC">
      <w:pPr>
        <w:pStyle w:val="16"/>
        <w:numPr>
          <w:ilvl w:val="0"/>
          <w:numId w:val="1"/>
        </w:numPr>
        <w:spacing w:after="100"/>
      </w:pPr>
      <w:r>
        <w:rPr>
          <w:rFonts w:ascii="Calibri" w:hAnsi="Calibri" w:eastAsia="Calibri" w:cs="Calibri"/>
          <w:b/>
          <w:bCs/>
          <w:color w:val="1B2A3A"/>
        </w:rPr>
        <w:t>Review overtime workload for new, entry-level employees — this group accounts for a disproportionate share of observed attrition, so it is a sensible place to start (for example, by reviewing or, if appropriate, capping overtime).</w:t>
      </w:r>
    </w:p>
    <w:p w14:paraId="41EC46D9">
      <w:pPr>
        <w:pStyle w:val="16"/>
        <w:numPr>
          <w:ilvl w:val="0"/>
          <w:numId w:val="1"/>
        </w:numPr>
        <w:spacing w:after="100"/>
      </w:pPr>
      <w:r>
        <w:rPr>
          <w:rFonts w:ascii="Calibri" w:hAnsi="Calibri" w:eastAsia="Calibri" w:cs="Calibri"/>
          <w:b/>
          <w:bCs/>
          <w:color w:val="1B2A3A"/>
        </w:rPr>
        <w:t>Review the Sales Representative role — observed attrition is highest in this role (39.8%); investigate whether workload, incentive structure, or role design play a part.</w:t>
      </w:r>
    </w:p>
    <w:p w14:paraId="0FAB0F3F">
      <w:pPr>
        <w:pStyle w:val="16"/>
        <w:numPr>
          <w:ilvl w:val="0"/>
          <w:numId w:val="1"/>
        </w:numPr>
        <w:spacing w:after="100"/>
      </w:pPr>
      <w:r>
        <w:rPr>
          <w:rFonts w:ascii="Calibri" w:hAnsi="Calibri" w:eastAsia="Calibri" w:cs="Calibri"/>
          <w:b/>
          <w:bCs/>
          <w:color w:val="1B2A3A"/>
        </w:rPr>
        <w:t>Review bottom-quartile pay bands — attrition is highest in the lowest income quartile in this dataset, so this group warrants a closer look.</w:t>
      </w:r>
    </w:p>
    <w:p w14:paraId="0E2F1803">
      <w:pPr>
        <w:pStyle w:val="16"/>
        <w:numPr>
          <w:ilvl w:val="0"/>
          <w:numId w:val="1"/>
        </w:numPr>
        <w:spacing w:after="100"/>
      </w:pPr>
      <w:r>
        <w:rPr>
          <w:rFonts w:ascii="Calibri" w:hAnsi="Calibri" w:eastAsia="Calibri" w:cs="Calibri"/>
          <w:b/>
          <w:bCs/>
          <w:color w:val="1B2A3A"/>
        </w:rPr>
        <w:t>Consider a structured first-three-year check-in programme — observed attrition is highest early in tenure, so this is where an intervention could be piloted and its effect measured.</w:t>
      </w:r>
    </w:p>
    <w:p w14:paraId="58686D61">
      <w:pPr>
        <w:keepNext/>
        <w:keepLines/>
        <w:spacing w:before="550" w:after="160"/>
      </w:pPr>
      <w:r>
        <w:rPr>
          <w:rFonts w:ascii="Cambria" w:hAnsi="Cambria" w:eastAsia="Cambria" w:cs="Cambria"/>
          <w:b/>
          <w:bCs/>
          <w:color w:val="065A82"/>
          <w:sz w:val="34"/>
          <w:szCs w:val="34"/>
        </w:rPr>
        <w:t>8. Limitations</w:t>
      </w:r>
    </w:p>
    <w:p w14:paraId="10461AE3">
      <w:pPr>
        <w:pStyle w:val="16"/>
        <w:numPr>
          <w:ilvl w:val="0"/>
          <w:numId w:val="1"/>
        </w:numPr>
        <w:spacing w:after="100"/>
      </w:pPr>
      <w:r>
        <w:rPr>
          <w:rFonts w:ascii="Calibri" w:hAnsi="Calibri" w:eastAsia="Calibri" w:cs="Calibri"/>
          <w:b w:val="0"/>
          <w:bCs w:val="0"/>
          <w:color w:val="1B2A3A"/>
        </w:rPr>
        <w:t>Correlation, not causation — findings show statistical association; no causal claim can be made without a controlled study.</w:t>
      </w:r>
    </w:p>
    <w:p w14:paraId="7B9E5361">
      <w:pPr>
        <w:pStyle w:val="16"/>
        <w:numPr>
          <w:ilvl w:val="0"/>
          <w:numId w:val="1"/>
        </w:numPr>
        <w:spacing w:after="100"/>
      </w:pPr>
      <w:r>
        <w:rPr>
          <w:rFonts w:ascii="Calibri" w:hAnsi="Calibri" w:eastAsia="Calibri" w:cs="Calibri"/>
          <w:b w:val="0"/>
          <w:bCs w:val="0"/>
          <w:color w:val="1B2A3A"/>
        </w:rPr>
        <w:t>Fictional dataset — results should not be generalised to a real organisation without validation on real HR data.</w:t>
      </w:r>
    </w:p>
    <w:p w14:paraId="30417556">
      <w:pPr>
        <w:pStyle w:val="16"/>
        <w:numPr>
          <w:ilvl w:val="0"/>
          <w:numId w:val="1"/>
        </w:numPr>
        <w:spacing w:after="100"/>
      </w:pPr>
      <w:r>
        <w:rPr>
          <w:rFonts w:ascii="Calibri" w:hAnsi="Calibri" w:eastAsia="Calibri" w:cs="Calibri"/>
          <w:b w:val="0"/>
          <w:bCs w:val="0"/>
          <w:color w:val="1B2A3A"/>
        </w:rPr>
        <w:t>Static snapshot — the data has no timestamps beyond tenure fields, so trends over calendar time cannot be tracked.</w:t>
      </w:r>
    </w:p>
    <w:p w14:paraId="55342245">
      <w:pPr>
        <w:pStyle w:val="16"/>
        <w:numPr>
          <w:ilvl w:val="0"/>
          <w:numId w:val="1"/>
        </w:numPr>
        <w:spacing w:after="100"/>
      </w:pPr>
      <w:r>
        <w:rPr>
          <w:rFonts w:ascii="Calibri" w:hAnsi="Calibri" w:eastAsia="Calibri" w:cs="Calibri"/>
          <w:b w:val="0"/>
          <w:bCs w:val="0"/>
          <w:color w:val="1B2A3A"/>
        </w:rPr>
        <w:t>Class imbalance — only ~16% of employees left, which naturally limits precision even with balancing applied.</w:t>
      </w:r>
    </w:p>
    <w:p w14:paraId="77779B16">
      <w:pPr>
        <w:pStyle w:val="16"/>
        <w:numPr>
          <w:ilvl w:val="0"/>
          <w:numId w:val="1"/>
        </w:numPr>
        <w:spacing w:after="100"/>
      </w:pPr>
      <w:r>
        <w:rPr>
          <w:rFonts w:ascii="Calibri" w:hAnsi="Calibri" w:eastAsia="Calibri" w:cs="Calibri"/>
          <w:b w:val="0"/>
          <w:bCs w:val="0"/>
          <w:color w:val="1B2A3A"/>
        </w:rPr>
        <w:t>Single model — Logistic Regression was chosen for explainability; a more complex ensemble model might predict marginally better but would be harder to interpret for business use.</w:t>
      </w:r>
    </w:p>
    <w:p w14:paraId="421B5D07">
      <w:pPr>
        <w:pStyle w:val="16"/>
        <w:numPr>
          <w:ilvl w:val="0"/>
          <w:numId w:val="1"/>
        </w:numPr>
        <w:spacing w:after="100"/>
      </w:pPr>
      <w:r>
        <w:rPr>
          <w:rFonts w:ascii="Calibri" w:hAnsi="Calibri" w:eastAsia="Calibri" w:cs="Calibri"/>
          <w:b w:val="0"/>
          <w:bCs w:val="0"/>
          <w:color w:val="1B2A3A"/>
        </w:rPr>
        <w:t>Single train/test split — the model was evaluated on one 75/25 split (368 test employees, 59 of whom left) and cross-validation was not performed, so the reported metrics are indicative rather than precise.</w:t>
      </w:r>
    </w:p>
    <w:p w14:paraId="1AD08D3B">
      <w:pPr>
        <w:pStyle w:val="16"/>
        <w:numPr>
          <w:ilvl w:val="0"/>
          <w:numId w:val="1"/>
        </w:numPr>
        <w:spacing w:after="100"/>
      </w:pPr>
      <w:r>
        <w:rPr>
          <w:rFonts w:ascii="Calibri" w:hAnsi="Calibri" w:eastAsia="Calibri" w:cs="Calibri"/>
          <w:b w:val="0"/>
          <w:bCs w:val="0"/>
          <w:color w:val="1B2A3A"/>
        </w:rPr>
        <w:t>Segment chosen after exploration — the high-risk segment combines factors identified during the exploratory analysis of this same dataset, so its attrition rate describes this dataset and may not hold in new data.</w:t>
      </w:r>
    </w:p>
    <w:p w14:paraId="13FBB894">
      <w:pPr>
        <w:pStyle w:val="16"/>
        <w:numPr>
          <w:ilvl w:val="0"/>
          <w:numId w:val="1"/>
        </w:numPr>
        <w:spacing w:after="100"/>
      </w:pPr>
      <w:r>
        <w:rPr>
          <w:rFonts w:ascii="Calibri" w:hAnsi="Calibri" w:eastAsia="Calibri" w:cs="Calibri"/>
          <w:b w:val="0"/>
          <w:bCs w:val="0"/>
          <w:color w:val="1B2A3A"/>
        </w:rPr>
        <w:t>No demographic deep-dive — age and gender fields exist but were not the primary focus of this investigation; they may warrant separate, careful follow-up analysis.</w:t>
      </w:r>
    </w:p>
    <w:p w14:paraId="186A3B99">
      <w:pPr>
        <w:keepNext/>
        <w:keepLines/>
        <w:spacing w:before="550" w:after="160"/>
      </w:pPr>
      <w:r>
        <w:rPr>
          <w:rFonts w:ascii="Cambria" w:hAnsi="Cambria" w:eastAsia="Cambria" w:cs="Cambria"/>
          <w:b/>
          <w:bCs/>
          <w:color w:val="065A82"/>
          <w:sz w:val="34"/>
          <w:szCs w:val="34"/>
        </w:rPr>
        <w:t>9. Conclusion</w:t>
      </w:r>
    </w:p>
    <w:p w14:paraId="09382FFE">
      <w:pPr>
        <w:spacing w:after="150"/>
      </w:pPr>
      <w:r>
        <w:rPr>
          <w:rFonts w:ascii="Calibri" w:hAnsi="Calibri" w:eastAsia="Calibri" w:cs="Calibri"/>
          <w:color w:val="1B2A3A"/>
        </w:rPr>
        <w:t>This project set out to understand why employees leave and to translate that understanding into concrete action. The clearest finding is that attrition is not evenly spread across the workforce: a small, well-defined group — new, entry-level employees working overtime — has an observed attrition rate about 3.7 times the overall rate and accounts for more than a fifth of all departures. This gives management a specific, focused starting point rather than a vague workforce-wide concern.</w:t>
      </w:r>
    </w:p>
    <w:p w14:paraId="6F502F28">
      <w:pPr>
        <w:spacing w:after="150"/>
      </w:pPr>
      <w:r>
        <w:rPr>
          <w:rFonts w:ascii="Calibri" w:hAnsi="Calibri" w:eastAsia="Calibri" w:cs="Calibri"/>
          <w:color w:val="1B2A3A"/>
        </w:rPr>
        <w:t>Suggested next steps for an organisation acting on this analysis would include validating these patterns against real internal HR data, and running a small A/B test on one intervention (for example, an overtime cap for the identified high-risk segment) to measure its actual effect on retention before wider rollout.</w:t>
      </w:r>
    </w:p>
    <w:p w14:paraId="73A0B4CA">
      <w:pPr>
        <w:keepNext/>
        <w:keepLines/>
        <w:spacing w:before="550" w:after="160"/>
      </w:pPr>
      <w:r>
        <w:rPr>
          <w:rFonts w:ascii="Cambria" w:hAnsi="Cambria" w:eastAsia="Cambria" w:cs="Cambria"/>
          <w:b/>
          <w:bCs/>
          <w:color w:val="065A82"/>
          <w:sz w:val="34"/>
          <w:szCs w:val="34"/>
        </w:rPr>
        <w:t>10. References</w:t>
      </w:r>
    </w:p>
    <w:p w14:paraId="21E61D55">
      <w:pPr>
        <w:pStyle w:val="16"/>
        <w:numPr>
          <w:ilvl w:val="0"/>
          <w:numId w:val="1"/>
        </w:numPr>
        <w:spacing w:after="100"/>
      </w:pPr>
      <w:r>
        <w:rPr>
          <w:rFonts w:ascii="Calibri" w:hAnsi="Calibri" w:eastAsia="Calibri" w:cs="Calibri"/>
          <w:b w:val="0"/>
          <w:bCs w:val="0"/>
          <w:color w:val="1B2A3A"/>
        </w:rPr>
        <w:t>Dataset: IBM HR Analytics Employee Attrition &amp; Performance, Kaggle (pavansubhasht).</w:t>
      </w:r>
    </w:p>
    <w:p w14:paraId="487FAEB5">
      <w:pPr>
        <w:pStyle w:val="16"/>
        <w:numPr>
          <w:ilvl w:val="0"/>
          <w:numId w:val="1"/>
        </w:numPr>
        <w:spacing w:after="100"/>
      </w:pPr>
      <w:r>
        <w:rPr>
          <w:rFonts w:ascii="Calibri" w:hAnsi="Calibri" w:eastAsia="Calibri" w:cs="Calibri"/>
          <w:b w:val="0"/>
          <w:bCs w:val="0"/>
          <w:color w:val="1B2A3A"/>
        </w:rPr>
        <w:t>scikit-learn documentation — https://scikit-learn.org/</w:t>
      </w:r>
    </w:p>
    <w:p w14:paraId="202835C8">
      <w:pPr>
        <w:pStyle w:val="16"/>
        <w:numPr>
          <w:ilvl w:val="0"/>
          <w:numId w:val="1"/>
        </w:numPr>
        <w:spacing w:after="100"/>
      </w:pPr>
      <w:r>
        <w:rPr>
          <w:rFonts w:ascii="Calibri" w:hAnsi="Calibri" w:eastAsia="Calibri" w:cs="Calibri"/>
          <w:b w:val="0"/>
          <w:bCs w:val="0"/>
          <w:color w:val="1B2A3A"/>
        </w:rPr>
        <w:t>Streamlit documentation — https://docs.streamlit.io/</w:t>
      </w:r>
    </w:p>
    <w:p w14:paraId="138CD3E7">
      <w:pPr>
        <w:keepNext/>
        <w:keepLines/>
        <w:spacing w:before="550" w:after="160"/>
      </w:pPr>
      <w:r>
        <w:rPr>
          <w:rFonts w:ascii="Cambria" w:hAnsi="Cambria" w:eastAsia="Cambria" w:cs="Cambria"/>
          <w:b/>
          <w:bCs/>
          <w:color w:val="065A82"/>
          <w:sz w:val="34"/>
          <w:szCs w:val="34"/>
        </w:rPr>
        <w:t>Appendix A — Data Dictionary (Key Columns Used)</w:t>
      </w:r>
    </w:p>
    <w:p w14:paraId="61D18549">
      <w:pPr>
        <w:pStyle w:val="16"/>
        <w:numPr>
          <w:ilvl w:val="0"/>
          <w:numId w:val="1"/>
        </w:numPr>
        <w:spacing w:after="100"/>
      </w:pPr>
      <w:r>
        <w:rPr>
          <w:rFonts w:ascii="Calibri" w:hAnsi="Calibri" w:eastAsia="Calibri" w:cs="Calibri"/>
          <w:b w:val="0"/>
          <w:bCs w:val="0"/>
          <w:color w:val="1B2A3A"/>
        </w:rPr>
        <w:t>Attrition / Left — whether the employee has left the company (target variable)</w:t>
      </w:r>
    </w:p>
    <w:p w14:paraId="3D664A6C">
      <w:pPr>
        <w:pStyle w:val="16"/>
        <w:numPr>
          <w:ilvl w:val="0"/>
          <w:numId w:val="1"/>
        </w:numPr>
        <w:spacing w:after="100"/>
      </w:pPr>
      <w:r>
        <w:rPr>
          <w:rFonts w:ascii="Calibri" w:hAnsi="Calibri" w:eastAsia="Calibri" w:cs="Calibri"/>
          <w:b w:val="0"/>
          <w:bCs w:val="0"/>
          <w:color w:val="1B2A3A"/>
        </w:rPr>
        <w:t>OverTime — whether the employee works overtime (Yes/No)</w:t>
      </w:r>
    </w:p>
    <w:p w14:paraId="0FDBD406">
      <w:pPr>
        <w:pStyle w:val="16"/>
        <w:numPr>
          <w:ilvl w:val="0"/>
          <w:numId w:val="1"/>
        </w:numPr>
        <w:spacing w:after="100"/>
      </w:pPr>
      <w:r>
        <w:rPr>
          <w:rFonts w:ascii="Calibri" w:hAnsi="Calibri" w:eastAsia="Calibri" w:cs="Calibri"/>
          <w:b w:val="0"/>
          <w:bCs w:val="0"/>
          <w:color w:val="1B2A3A"/>
        </w:rPr>
        <w:t>MonthlyIncome — employee's monthly income</w:t>
      </w:r>
    </w:p>
    <w:p w14:paraId="022A2C94">
      <w:pPr>
        <w:pStyle w:val="16"/>
        <w:numPr>
          <w:ilvl w:val="0"/>
          <w:numId w:val="1"/>
        </w:numPr>
        <w:spacing w:after="100"/>
      </w:pPr>
      <w:r>
        <w:rPr>
          <w:rFonts w:ascii="Calibri" w:hAnsi="Calibri" w:eastAsia="Calibri" w:cs="Calibri"/>
          <w:b w:val="0"/>
          <w:bCs w:val="0"/>
          <w:color w:val="1B2A3A"/>
        </w:rPr>
        <w:t>YearsAtCompany — tenure in years at the current company</w:t>
      </w:r>
    </w:p>
    <w:p w14:paraId="3968DE18">
      <w:pPr>
        <w:pStyle w:val="16"/>
        <w:numPr>
          <w:ilvl w:val="0"/>
          <w:numId w:val="1"/>
        </w:numPr>
        <w:spacing w:after="100"/>
      </w:pPr>
      <w:r>
        <w:rPr>
          <w:rFonts w:ascii="Calibri" w:hAnsi="Calibri" w:eastAsia="Calibri" w:cs="Calibri"/>
          <w:b w:val="0"/>
          <w:bCs w:val="0"/>
          <w:color w:val="1B2A3A"/>
        </w:rPr>
        <w:t>JobLevel — job level on a 1–5 scale (this project treats level 1 as entry level)</w:t>
      </w:r>
    </w:p>
    <w:p w14:paraId="530C3DA8">
      <w:pPr>
        <w:pStyle w:val="16"/>
        <w:numPr>
          <w:ilvl w:val="0"/>
          <w:numId w:val="1"/>
        </w:numPr>
        <w:spacing w:after="100"/>
      </w:pPr>
      <w:r>
        <w:rPr>
          <w:rFonts w:ascii="Calibri" w:hAnsi="Calibri" w:eastAsia="Calibri" w:cs="Calibri"/>
          <w:b w:val="0"/>
          <w:bCs w:val="0"/>
          <w:color w:val="1B2A3A"/>
        </w:rPr>
        <w:t>JobRole — specific job title / function</w:t>
      </w:r>
    </w:p>
    <w:p w14:paraId="607E4C9E">
      <w:pPr>
        <w:pStyle w:val="16"/>
        <w:numPr>
          <w:ilvl w:val="0"/>
          <w:numId w:val="1"/>
        </w:numPr>
        <w:spacing w:after="100"/>
      </w:pPr>
      <w:r>
        <w:rPr>
          <w:rFonts w:ascii="Calibri" w:hAnsi="Calibri" w:eastAsia="Calibri" w:cs="Calibri"/>
          <w:b w:val="0"/>
          <w:bCs w:val="0"/>
          <w:color w:val="1B2A3A"/>
        </w:rPr>
        <w:t>BusinessTravel — frequency of work-related travel</w:t>
      </w:r>
    </w:p>
    <w:p w14:paraId="0A779352">
      <w:pPr>
        <w:pStyle w:val="16"/>
        <w:numPr>
          <w:ilvl w:val="0"/>
          <w:numId w:val="1"/>
        </w:numPr>
        <w:spacing w:after="100"/>
      </w:pPr>
      <w:r>
        <w:rPr>
          <w:rFonts w:ascii="Calibri" w:hAnsi="Calibri" w:eastAsia="Calibri" w:cs="Calibri"/>
          <w:b w:val="0"/>
          <w:bCs w:val="0"/>
          <w:color w:val="1B2A3A"/>
        </w:rPr>
        <w:t>StockOptionLevel — level of stock options granted, on a 0–3 scale</w:t>
      </w:r>
    </w:p>
    <w:p w14:paraId="62243FF5">
      <w:pPr>
        <w:pStyle w:val="16"/>
        <w:numPr>
          <w:ilvl w:val="0"/>
          <w:numId w:val="1"/>
        </w:numPr>
        <w:spacing w:after="100"/>
      </w:pPr>
      <w:r>
        <w:rPr>
          <w:rFonts w:ascii="Calibri" w:hAnsi="Calibri" w:eastAsia="Calibri" w:cs="Calibri"/>
          <w:b w:val="0"/>
          <w:bCs w:val="0"/>
          <w:color w:val="1B2A3A"/>
        </w:rPr>
        <w:t>MaritalStatus — Single, Married, or Divorced</w:t>
      </w:r>
    </w:p>
    <w:p w14:paraId="0BB7CDD9">
      <w:pPr>
        <w:pStyle w:val="16"/>
        <w:numPr>
          <w:ilvl w:val="0"/>
          <w:numId w:val="1"/>
        </w:numPr>
        <w:spacing w:after="100"/>
      </w:pPr>
      <w:r>
        <w:rPr>
          <w:rFonts w:ascii="Calibri" w:hAnsi="Calibri" w:eastAsia="Calibri" w:cs="Calibri"/>
          <w:b w:val="0"/>
          <w:bCs w:val="0"/>
          <w:color w:val="1B2A3A"/>
        </w:rPr>
        <w:t>DistanceFromHome — distance from home to work (units not specified in the dataset)</w:t>
      </w:r>
    </w:p>
    <w:p w14:paraId="48E7AEB8">
      <w:pPr>
        <w:keepNext/>
        <w:keepLines/>
        <w:spacing w:before="550" w:after="160"/>
      </w:pPr>
      <w:r>
        <w:rPr>
          <w:rFonts w:ascii="Cambria" w:hAnsi="Cambria" w:eastAsia="Cambria" w:cs="Cambria"/>
          <w:b/>
          <w:bCs/>
          <w:color w:val="065A82"/>
          <w:sz w:val="34"/>
          <w:szCs w:val="34"/>
        </w:rPr>
        <w:t>Appendix B — Dashboard Screenshots</w:t>
      </w:r>
    </w:p>
    <w:p w14:paraId="4E945CEE">
      <w:pPr>
        <w:spacing w:after="150"/>
      </w:pPr>
      <w:r>
        <w:rPr>
          <w:rFonts w:ascii="Calibri" w:hAnsi="Calibri" w:eastAsia="Calibri" w:cs="Calibri"/>
          <w:color w:val="1B2A3A"/>
        </w:rPr>
        <w:t>The screenshots below are captures from the interactive Streamlit dashboard (ZohraSayyed_EmployeeAttritionRetentionIntelligence.py), taken from the final version of the code. Where a tab is taller than one screen, two sequential screenshots — top and continued — are shown; they are not a single combined screenshot. The B.4 Part 2 capture is trimmed at the top to remove a partly cut-off heading.</w:t>
      </w:r>
    </w:p>
    <w:p w14:paraId="00CED633">
      <w:pPr>
        <w:keepNext/>
        <w:keepLines/>
        <w:spacing w:before="320" w:after="130"/>
      </w:pPr>
      <w:r>
        <w:rPr>
          <w:rFonts w:ascii="Cambria" w:hAnsi="Cambria" w:eastAsia="Cambria" w:cs="Cambria"/>
          <w:b/>
          <w:bCs/>
          <w:color w:val="1C7293"/>
          <w:sz w:val="26"/>
          <w:szCs w:val="26"/>
        </w:rPr>
        <w:t>B.1 — Executive Overview Tab</w:t>
      </w:r>
    </w:p>
    <w:p w14:paraId="5A1BAA02">
      <w:pPr>
        <w:spacing w:before="100" w:after="90"/>
        <w:jc w:val="center"/>
      </w:pPr>
      <w:r>
        <w:drawing>
          <wp:inline distT="0" distB="0" distL="0" distR="0">
            <wp:extent cx="590550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rcRect/>
                    <a:stretch>
                      <a:fillRect/>
                    </a:stretch>
                  </pic:blipFill>
                  <pic:spPr>
                    <a:xfrm>
                      <a:off x="0" y="0"/>
                      <a:ext cx="5905500" cy="2762250"/>
                    </a:xfrm>
                    <a:prstGeom prst="rect">
                      <a:avLst/>
                    </a:prstGeom>
                  </pic:spPr>
                </pic:pic>
              </a:graphicData>
            </a:graphic>
          </wp:inline>
        </w:drawing>
      </w:r>
    </w:p>
    <w:p w14:paraId="302DD1C1">
      <w:pPr>
        <w:spacing w:after="200"/>
        <w:jc w:val="center"/>
      </w:pPr>
      <w:r>
        <w:rPr>
          <w:rFonts w:ascii="Calibri" w:hAnsi="Calibri" w:eastAsia="Calibri" w:cs="Calibri"/>
          <w:i/>
          <w:iCs/>
          <w:color w:val="5C6B7A"/>
          <w:sz w:val="20"/>
          <w:szCs w:val="20"/>
        </w:rPr>
        <w:t>Part 1 of 2 — Executive Overview (top)</w:t>
      </w:r>
    </w:p>
    <w:p w14:paraId="0827685D">
      <w:pPr>
        <w:spacing w:before="100" w:after="90"/>
        <w:jc w:val="center"/>
      </w:pPr>
      <w:r>
        <w:drawing>
          <wp:inline distT="0" distB="0" distL="0" distR="0">
            <wp:extent cx="5334000" cy="2741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34000" cy="2741570"/>
                    </a:xfrm>
                    <a:prstGeom prst="rect">
                      <a:avLst/>
                    </a:prstGeom>
                  </pic:spPr>
                </pic:pic>
              </a:graphicData>
            </a:graphic>
          </wp:inline>
        </w:drawing>
      </w:r>
    </w:p>
    <w:p w14:paraId="5AC6B705">
      <w:pPr>
        <w:spacing w:after="200"/>
        <w:jc w:val="center"/>
      </w:pPr>
      <w:r>
        <w:rPr>
          <w:rFonts w:ascii="Calibri" w:hAnsi="Calibri" w:eastAsia="Calibri" w:cs="Calibri"/>
          <w:i/>
          <w:iCs/>
          <w:color w:val="5C6B7A"/>
          <w:sz w:val="20"/>
          <w:szCs w:val="20"/>
        </w:rPr>
        <w:t>Part 2 of 2 — Executive Overview (continued)</w:t>
      </w:r>
    </w:p>
    <w:p w14:paraId="03EB59BD">
      <w:pPr>
        <w:keepNext/>
        <w:keepLines/>
        <w:spacing w:before="320" w:after="130"/>
      </w:pPr>
      <w:r>
        <w:rPr>
          <w:rFonts w:ascii="Cambria" w:hAnsi="Cambria" w:eastAsia="Cambria" w:cs="Cambria"/>
          <w:b/>
          <w:bCs/>
          <w:color w:val="1C7293"/>
          <w:sz w:val="26"/>
          <w:szCs w:val="26"/>
        </w:rPr>
        <w:t>B.2 — Driver Analysis Tab</w:t>
      </w:r>
    </w:p>
    <w:p w14:paraId="5D92C7B1">
      <w:pPr>
        <w:spacing w:before="100" w:after="90"/>
        <w:jc w:val="center"/>
      </w:pPr>
      <w:r>
        <w:drawing>
          <wp:inline distT="0" distB="0" distL="0" distR="0">
            <wp:extent cx="5905500" cy="2713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rcRect/>
                    <a:stretch>
                      <a:fillRect/>
                    </a:stretch>
                  </pic:blipFill>
                  <pic:spPr>
                    <a:xfrm>
                      <a:off x="0" y="0"/>
                      <a:ext cx="5905500" cy="2714166"/>
                    </a:xfrm>
                    <a:prstGeom prst="rect">
                      <a:avLst/>
                    </a:prstGeom>
                  </pic:spPr>
                </pic:pic>
              </a:graphicData>
            </a:graphic>
          </wp:inline>
        </w:drawing>
      </w:r>
    </w:p>
    <w:p w14:paraId="1C3B5165">
      <w:pPr>
        <w:spacing w:after="200"/>
        <w:jc w:val="center"/>
      </w:pPr>
      <w:r>
        <w:rPr>
          <w:rFonts w:ascii="Calibri" w:hAnsi="Calibri" w:eastAsia="Calibri" w:cs="Calibri"/>
          <w:i/>
          <w:iCs/>
          <w:color w:val="5C6B7A"/>
          <w:sz w:val="20"/>
          <w:szCs w:val="20"/>
        </w:rPr>
        <w:t>Part 1 of 2 — Driver Analysis (top)</w:t>
      </w:r>
    </w:p>
    <w:p w14:paraId="16DCA330">
      <w:pPr>
        <w:spacing w:before="100" w:after="90"/>
        <w:jc w:val="center"/>
      </w:pPr>
      <w:r>
        <w:drawing>
          <wp:inline distT="0" distB="0" distL="0" distR="0">
            <wp:extent cx="5905500" cy="2752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rcRect/>
                    <a:stretch>
                      <a:fillRect/>
                    </a:stretch>
                  </pic:blipFill>
                  <pic:spPr>
                    <a:xfrm>
                      <a:off x="0" y="0"/>
                      <a:ext cx="5905500" cy="2752725"/>
                    </a:xfrm>
                    <a:prstGeom prst="rect">
                      <a:avLst/>
                    </a:prstGeom>
                  </pic:spPr>
                </pic:pic>
              </a:graphicData>
            </a:graphic>
          </wp:inline>
        </w:drawing>
      </w:r>
    </w:p>
    <w:p w14:paraId="2E1BBF5F">
      <w:pPr>
        <w:spacing w:after="200"/>
        <w:jc w:val="center"/>
      </w:pPr>
      <w:r>
        <w:rPr>
          <w:rFonts w:ascii="Calibri" w:hAnsi="Calibri" w:eastAsia="Calibri" w:cs="Calibri"/>
          <w:i/>
          <w:iCs/>
          <w:color w:val="5C6B7A"/>
          <w:sz w:val="20"/>
          <w:szCs w:val="20"/>
        </w:rPr>
        <w:t>Part 2 of 2 — Driver Analysis (continued)</w:t>
      </w:r>
    </w:p>
    <w:p w14:paraId="64E214B3">
      <w:pPr>
        <w:keepNext/>
        <w:keepLines/>
        <w:spacing w:before="320" w:after="130"/>
      </w:pPr>
      <w:r>
        <w:rPr>
          <w:rFonts w:ascii="Cambria" w:hAnsi="Cambria" w:eastAsia="Cambria" w:cs="Cambria"/>
          <w:b/>
          <w:bCs/>
          <w:color w:val="1C7293"/>
          <w:sz w:val="26"/>
          <w:szCs w:val="26"/>
        </w:rPr>
        <w:t>B.3 — High-Risk Segment Tab</w:t>
      </w:r>
    </w:p>
    <w:p w14:paraId="06131759">
      <w:pPr>
        <w:spacing w:before="100" w:after="90"/>
        <w:jc w:val="center"/>
      </w:pPr>
      <w:r>
        <w:drawing>
          <wp:inline distT="0" distB="0" distL="0" distR="0">
            <wp:extent cx="5905500"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905500" cy="2733675"/>
                    </a:xfrm>
                    <a:prstGeom prst="rect">
                      <a:avLst/>
                    </a:prstGeom>
                  </pic:spPr>
                </pic:pic>
              </a:graphicData>
            </a:graphic>
          </wp:inline>
        </w:drawing>
      </w:r>
    </w:p>
    <w:p w14:paraId="3E7BE2C2">
      <w:pPr>
        <w:spacing w:after="200"/>
        <w:jc w:val="center"/>
      </w:pPr>
      <w:r>
        <w:rPr>
          <w:rFonts w:ascii="Calibri" w:hAnsi="Calibri" w:eastAsia="Calibri" w:cs="Calibri"/>
          <w:i/>
          <w:iCs/>
          <w:color w:val="5C6B7A"/>
          <w:sz w:val="20"/>
          <w:szCs w:val="20"/>
        </w:rPr>
        <w:t>Part 1 of 2 — High-Risk Segment (top)</w:t>
      </w:r>
    </w:p>
    <w:p w14:paraId="508C840A">
      <w:pPr>
        <w:spacing w:before="100" w:after="90"/>
        <w:jc w:val="center"/>
      </w:pPr>
      <w:r>
        <w:drawing>
          <wp:inline distT="0" distB="0" distL="0" distR="0">
            <wp:extent cx="5905500" cy="2867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a:srcRect/>
                    <a:stretch>
                      <a:fillRect/>
                    </a:stretch>
                  </pic:blipFill>
                  <pic:spPr>
                    <a:xfrm>
                      <a:off x="0" y="0"/>
                      <a:ext cx="5905500" cy="2867025"/>
                    </a:xfrm>
                    <a:prstGeom prst="rect">
                      <a:avLst/>
                    </a:prstGeom>
                  </pic:spPr>
                </pic:pic>
              </a:graphicData>
            </a:graphic>
          </wp:inline>
        </w:drawing>
      </w:r>
    </w:p>
    <w:p w14:paraId="206BE823">
      <w:pPr>
        <w:spacing w:after="200"/>
        <w:jc w:val="center"/>
      </w:pPr>
      <w:r>
        <w:rPr>
          <w:rFonts w:ascii="Calibri" w:hAnsi="Calibri" w:eastAsia="Calibri" w:cs="Calibri"/>
          <w:i/>
          <w:iCs/>
          <w:color w:val="5C6B7A"/>
          <w:sz w:val="20"/>
          <w:szCs w:val="20"/>
        </w:rPr>
        <w:t>Part 2 of 2 — High-Risk Segment (continued)</w:t>
      </w:r>
    </w:p>
    <w:p w14:paraId="4A936719">
      <w:pPr>
        <w:keepNext/>
        <w:keepLines/>
        <w:spacing w:before="320" w:after="130"/>
      </w:pPr>
      <w:r>
        <w:rPr>
          <w:rFonts w:ascii="Cambria" w:hAnsi="Cambria" w:eastAsia="Cambria" w:cs="Cambria"/>
          <w:b/>
          <w:bCs/>
          <w:color w:val="1C7293"/>
          <w:sz w:val="26"/>
          <w:szCs w:val="26"/>
        </w:rPr>
        <w:t>B.4 — Model &amp; Recommendations Tab</w:t>
      </w:r>
    </w:p>
    <w:p w14:paraId="4CD80822">
      <w:pPr>
        <w:spacing w:before="100" w:after="90"/>
        <w:jc w:val="center"/>
      </w:pPr>
      <w:r>
        <w:drawing>
          <wp:inline distT="0" distB="0" distL="0" distR="0">
            <wp:extent cx="5905500" cy="26562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noChangeArrowheads="1"/>
                    </pic:cNvPicPr>
                  </pic:nvPicPr>
                  <pic:blipFill>
                    <a:blip r:embed="rId15"/>
                    <a:srcRect/>
                    <a:stretch>
                      <a:fillRect/>
                    </a:stretch>
                  </pic:blipFill>
                  <pic:spPr>
                    <a:xfrm>
                      <a:off x="0" y="0"/>
                      <a:ext cx="5905500" cy="2656577"/>
                    </a:xfrm>
                    <a:prstGeom prst="rect">
                      <a:avLst/>
                    </a:prstGeom>
                  </pic:spPr>
                </pic:pic>
              </a:graphicData>
            </a:graphic>
          </wp:inline>
        </w:drawing>
      </w:r>
    </w:p>
    <w:p w14:paraId="19B28AC2">
      <w:pPr>
        <w:spacing w:after="200"/>
        <w:jc w:val="center"/>
      </w:pPr>
      <w:r>
        <w:rPr>
          <w:rFonts w:ascii="Calibri" w:hAnsi="Calibri" w:eastAsia="Calibri" w:cs="Calibri"/>
          <w:i/>
          <w:iCs/>
          <w:color w:val="5C6B7A"/>
          <w:sz w:val="20"/>
          <w:szCs w:val="20"/>
        </w:rPr>
        <w:t>Part 1 of 2 — Model &amp; Recommendations (top)</w:t>
      </w:r>
    </w:p>
    <w:p w14:paraId="6D127DB7">
      <w:pPr>
        <w:spacing w:before="100" w:after="90"/>
        <w:jc w:val="center"/>
      </w:pPr>
      <w:r>
        <w:drawing>
          <wp:inline distT="0" distB="0" distL="0" distR="0">
            <wp:extent cx="5905500" cy="2432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srcRect/>
                    <a:stretch>
                      <a:fillRect/>
                    </a:stretch>
                  </pic:blipFill>
                  <pic:spPr>
                    <a:xfrm>
                      <a:off x="0" y="0"/>
                      <a:ext cx="5905500" cy="2432977"/>
                    </a:xfrm>
                    <a:prstGeom prst="rect">
                      <a:avLst/>
                    </a:prstGeom>
                  </pic:spPr>
                </pic:pic>
              </a:graphicData>
            </a:graphic>
          </wp:inline>
        </w:drawing>
      </w:r>
    </w:p>
    <w:p w14:paraId="41442CE6">
      <w:pPr>
        <w:spacing w:after="200"/>
        <w:jc w:val="center"/>
      </w:pPr>
      <w:r>
        <w:rPr>
          <w:rFonts w:ascii="Calibri" w:hAnsi="Calibri" w:eastAsia="Calibri" w:cs="Calibri"/>
          <w:i/>
          <w:iCs/>
          <w:color w:val="5C6B7A"/>
          <w:sz w:val="20"/>
          <w:szCs w:val="20"/>
        </w:rPr>
        <w:t>Part 2 of 2 — Model &amp; Recommendations (continued)</w:t>
      </w:r>
    </w:p>
    <w:sectPr>
      <w:headerReference r:id="rId4" w:type="first"/>
      <w:footerReference r:id="rId6" w:type="first"/>
      <w:headerReference r:id="rId3" w:type="default"/>
      <w:footerReference r:id="rId5" w:type="default"/>
      <w:pgSz w:w="12240" w:h="15840"/>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C886">
    <w:pPr>
      <w:jc w:val="center"/>
    </w:pPr>
    <w:r>
      <w:rPr>
        <w:rFonts w:ascii="Calibri" w:hAnsi="Calibri" w:eastAsia="Calibri" w:cs="Calibri"/>
        <w:color w:val="5C6B7A"/>
        <w:sz w:val="18"/>
        <w:szCs w:val="18"/>
      </w:rPr>
      <w:t xml:space="preserve">Page </w:t>
    </w:r>
    <w:r>
      <w:rPr>
        <w:rFonts w:ascii="Calibri" w:hAnsi="Calibri" w:eastAsia="Calibri" w:cs="Calibri"/>
        <w:color w:val="5C6B7A"/>
        <w:sz w:val="18"/>
        <w:szCs w:val="18"/>
      </w:rPr>
      <w:fldChar w:fldCharType="begin"/>
    </w:r>
    <w:r>
      <w:rPr>
        <w:rFonts w:ascii="Calibri" w:hAnsi="Calibri" w:eastAsia="Calibri" w:cs="Calibri"/>
        <w:color w:val="5C6B7A"/>
        <w:sz w:val="18"/>
        <w:szCs w:val="18"/>
      </w:rPr>
      <w:instrText xml:space="preserve">PAGE</w:instrText>
    </w:r>
    <w:r>
      <w:rPr>
        <w:rFonts w:ascii="Calibri" w:hAnsi="Calibri" w:eastAsia="Calibri" w:cs="Calibri"/>
        <w:color w:val="5C6B7A"/>
        <w:sz w:val="18"/>
        <w:szCs w:val="18"/>
      </w:rPr>
      <w:fldChar w:fldCharType="separate"/>
    </w:r>
    <w:r>
      <w:rPr>
        <w:rFonts w:ascii="Calibri" w:hAnsi="Calibri" w:eastAsia="Calibri" w:cs="Calibri"/>
        <w:color w:val="5C6B7A"/>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B03A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73B91">
    <w:pPr>
      <w:jc w:val="right"/>
    </w:pPr>
    <w:r>
      <w:rPr>
        <w:rFonts w:ascii="Calibri" w:hAnsi="Calibri" w:eastAsia="Calibri" w:cs="Calibri"/>
        <w:color w:val="5C6B7A"/>
        <w:sz w:val="16"/>
        <w:szCs w:val="16"/>
      </w:rPr>
      <w:t>Employee Attrition &amp; Retention Intelligence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9462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4573529"/>
    <w:rsid w:val="390221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2211</Words>
  <Characters>12460</Characters>
  <TotalTime>8</TotalTime>
  <ScaleCrop>false</ScaleCrop>
  <LinksUpToDate>false</LinksUpToDate>
  <CharactersWithSpaces>14515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2026-09-24T07:50:00Z</dcterms:created>
  <dc:creator>Un-named</dc:creator>
  <cp:lastModifiedBy>Zohra Sayyed</cp:lastModifiedBy>
  <dcterms:modified xsi:type="dcterms:W3CDTF">2026-10-19T07:17:42Z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eyJoZGlkIjoiMGI4YTY2NzNjYzhhMDBjYjhiZDFjNDRhZjk5ZjcyM2MiLCJ1c2VySWQiOiI1NjczNTgwMDA0MTkifQ==</vt:lpwstr>
  </property>
  <property fmtid="{D5CDD505-2E9C-101B-9397-08002B2CF9AE}" pid="3" name="KSOProductBuildVer">
    <vt:lpwstr>1033-12.1.0.29162</vt:lpwstr>
  </property>
  <property fmtid="{D5CDD505-2E9C-101B-9397-08002B2CF9AE}" pid="4" name="ICV">
    <vt:lpwstr>B92B3315BE214B128E903BF33AFC37E2_12</vt:lpwstr>
  </property>
</Properties>
</file>