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mean of the annual Eq. (1) M</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Revised_M_Roxburgh ÷ Original_M_2004, and Revised_M_Roxburgh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r>
        <w:t>Figure 1 shows the sample the whole test rests on. Panel (a) plots each surviving site at its longitude and latitude, coloured by maturity class, with the marker area scaled to the observed biomass so that the heavy sites are visible without a second axis. Panel (b) is the distribution of that biomass. Neither panel is a result; they are here so that the coverage and the spread of the reference set can be judged before any statistic computed from it is read. What to look for is the geography: the sites cluster along the forested east, the south-west and Tasmania, and the arid interior is almost unsampled, so conclusions drawn here do not extend there.</w:t>
      </w:r>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_mean_of_annual.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r>
        <w:t>Figure 3 asks whether the matching worked before any biomass is compared. Panel (a) is the distance, in the standardised principal component space, between each site and the cell chosen for it: the grey histogram is the present-day control, the blue one the eight future runs pooled. Panel (b) counts, per run, the sites whose nearest candidate is further away than the 99th percentile of the distance between historical cells — the no-analogue flag. Panel (c) is the great-circle distance from the site to its analogue in kilometres, a diagnostic rather than a criterion, since a good climate analogue may legitimately sit far away.</w:t>
      </w:r>
    </w:p>
    <w:p>
      <w:r>
        <w:t>How to read it: the blue histogram sitting to the right of the grey one means future climates are harder to match than present-day ones, which is expected and is the point of the exercise. Panel (b) is the one to check before quoting any late-century run.</w:t>
      </w:r>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_mean_of_annual.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r>
        <w:t>Figure 2 is the gate, and it involves no matching at all. Panel (a) plots, for each site, the biomass measured in the field on the x axis against the M' of the 1 km cell the site falls in on the y axis, with the 1:1 line dashed. Panel (b) is the same information as the distribution of M' divided by observed AGB, with the median marked. Both axes are linear and clipped just above the bulk of the data; the sites beyond the cut are counted on the panel rather than hidden.</w:t>
      </w:r>
    </w:p>
    <w:p>
      <w:r>
        <w:t>How to read it: because M' is a maximum and a field measurement is one stand at one moment, the ratio should sit ABOVE 1 for a well-behaved layer. A median below 1 cannot be explained by stand immaturity, which is why this panel decides how much weight the rest of the report can carry. The vertical smear at low observed AGB is the scale mismatch: a sub-hectare plot with little biomass inside a 1 km cell whose potential is high.</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_mean_of_annual.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AGB against M' at the same cell, linear axes clipped just above the bulk of the data, 1:1 dashed, with n, median ratio, Spearman rho, the share within a factor of two and RMSE on the panel. Right: the distribution of the ratio, cut at 6 with the number of sites beyond it stated.</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r>
        <w:t>Figure 4 is the space-for-time comparison itself. For each panel, every site was matched to the future cell whose predictors are nearest in the PCA space and whose pre-1750 vegetation subgroup is the same; the x axis is the biomass observed at the site, the y axis the M' projected for its matched cell, and only sites with an analogue are drawn. Rows are the two windows, columns the four scenarios. The clouds sit below the 1:1 line in every panel, which is the same finding as Figure 2 carried through the matching.</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_mean_of_annual.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AGB against the M' projected for each site's future climate analogue, one panel per scenario-window. Each panel carries n, the median ratio, Spearman rho and the share within a factor of two for that run; the same numbers, with the rest of the statistics, are in the tables above.</w:t>
      </w:r>
    </w:p>
    <w:p>
      <w:r>
        <w:t>Figure 5 compresses each panel of Figure 4, and each control, to one number: the median of M' divided by observed AGB, with a 2,000-sample bootstrap interval. The controls are grey. This is the summary figure of the analysis, and the comparison it invites is horizontal — each future run against the present-day-analogue control and against the random-cell null, not against 1.0. Where the intervals of a run and the null overlap, that run has not demonstrated skill.</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_mean_of_annual.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r>
        <w:t>Figure 6 checks whether a distant analogue is a worse one. Panel (a) draws an arrow from each site to the cell matched to it under SSP5-8.5 2070-2099, so the direction and length of the climate shift are visible. Panel (b) plots agreement against that distance, coloured by the distance in predictor space, with the Spearman correlation between the two printed on the panel. A correlation near zero means the analogue being far away on the ground does not, by itself, make it a worse analogue — which is what one wants, since the match is made in climate space and not in geography.</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_mean_of_annual.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 Panel (b) carries the Spearman correlation between the distance to the analogue and the ratio, which is the question it asks.</w:t>
      </w:r>
    </w:p>
    <w:p>
      <w:pPr>
        <w:pStyle w:val="Heading2"/>
      </w:pPr>
      <w:r>
        <w:t>The other averaging order</w:t>
      </w:r>
    </w:p>
    <w:p>
      <w:r>
        <w:t>M' exists in two averaging orders, and both have a random-forest historical denominator. This report validates the one built as the mean of the annual Eq. (1) M; the other is built as the Eq. (1) of the mean FPI (the method). Eq. (1) is convex, so the two are not the same layer — at the M level the gap is about 3%, and against Revised_M_Roxburgh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0.549</w:t>
            </w:r>
          </w:p>
        </w:tc>
        <w:tc>
          <w:tcPr>
            <w:tcW w:type="dxa" w:w="1584"/>
          </w:tcPr>
          <w:p>
            <w:r>
              <w:rPr>
                <w:sz w:val="18"/>
              </w:rPr>
              <w:t>+0.00%</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0.560</w:t>
            </w:r>
          </w:p>
        </w:tc>
        <w:tc>
          <w:tcPr>
            <w:tcW w:type="dxa" w:w="1584"/>
          </w:tcPr>
          <w:p>
            <w:r>
              <w:rPr>
                <w:sz w:val="18"/>
              </w:rPr>
              <w:t>+0.00%</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0.416</w:t>
            </w:r>
          </w:p>
        </w:tc>
        <w:tc>
          <w:tcPr>
            <w:tcW w:type="dxa" w:w="1584"/>
          </w:tcPr>
          <w:p>
            <w:r>
              <w:rPr>
                <w:sz w:val="18"/>
              </w:rPr>
              <w:t>+0.00%</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+0.00%</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0.785</w:t>
            </w:r>
          </w:p>
        </w:tc>
        <w:tc>
          <w:tcPr>
            <w:tcW w:type="dxa" w:w="1584"/>
          </w:tcPr>
          <w:p>
            <w:r>
              <w:rPr>
                <w:sz w:val="18"/>
              </w:rPr>
              <w:t>+0.00%</w:t>
            </w:r>
          </w:p>
        </w:tc>
      </w:tr>
    </w:tbl>
    <w:p/>
    <w:p>
      <w:r>
        <w:t>The largest disagreement between the two orders is 0.00%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Revised_M_Roxburgh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Revised_M_Roxburgh.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Revised_M_Roxburgh,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