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Modelling the reference FPI, and what it does to M'</w:t>
      </w:r>
    </w:p>
    <w:p>
      <w:r>
        <w:rPr>
          <w:color w:val="52514E"/>
          <w:sz w:val="18"/>
        </w:rPr>
        <w:t>FPI_Accuracy_check/ · generated 2026-09-22 · every number read from the step that computed it</w:t>
      </w:r>
    </w:p>
    <w:p>
      <w:pPr>
        <w:pStyle w:val="Heading1"/>
      </w:pPr>
      <w:r>
        <w:t>Why</w:t>
      </w:r>
    </w:p>
    <w:p>
      <w:r>
        <w:t>The delta-change ratio behind future M' mixed two sources: the numerator was FPI from the random forest, the denominator was FPI downloaded from DCCEEW. Any bias in the forest sat in the numerator only, so it did not cancel, and it was read downstream as climate change. Both sides are now modelled by the same fitted forest:</w:t>
      </w:r>
    </w:p>
    <w:p>
      <w:pPr>
        <w:ind w:left="504"/>
      </w:pPr>
      <w:r>
        <w:rPr>
          <w:i/>
        </w:rPr>
        <w:t>M'_future  =  λ × Original_M_2004 × Eq1(FPI_future, RF) ÷ Eq1(FPI_1985-2014, RF)</w:t>
      </w:r>
    </w:p>
    <w:p>
      <w:r>
        <w:t>This is the rule already applied to temperature and rainfall, where every delta is CSIRO-minus-CSIRO and never CSIRO-minus-ANUClimate. FPI was the one input where it had not been applied.</w:t>
      </w:r>
    </w:p>
    <w:p>
      <w:pPr>
        <w:pStyle w:val="IntenseQuote"/>
      </w:pPr>
      <w:r>
        <w:t>The averaging order is fixed and stated once here, because the two possible orders are easy to confuse. THE METHOD IS: predict each year's FPI with the random forest, average the FPI over the period, then apply Eq. (1) to that mean — on both sides of the ratio. Calculation_future_M_CSIRO/Step_06 names this the layer to use "when feeding a single period value to FullCAM". Applying Eq. (1) to each year and averaging the results afterwards is a different number, because Eq. (1) is convex; it is reported throughout as the sensitivity, never as the headline.</w:t>
      </w:r>
    </w:p>
    <w:p>
      <w:pPr>
        <w:pStyle w:val="Heading2"/>
      </w:pPr>
      <w:r>
        <w:t>What Roxburgh et al. (2019) actually specify</w:t>
      </w:r>
    </w:p>
    <w:p>
      <w:r>
        <w:t>Roxburgh, S.H., Karunaratne, S.B., Paul, K.I., Lucas, R.M., Armston, J.D., Sun, J. (2019). A revised above-ground maximum biomass layer for the Australian continent. Forest Ecology and Management 432, 264-275. https://doi.org/10.1016/j.foreco.2018.09.011 — Section 2, p. 265, the paragraph that introduces Eq. (1):</w:t>
      </w:r>
    </w:p>
    <w:p>
      <w:pPr>
        <w:ind w:left="504"/>
      </w:pPr>
      <w:r>
        <w:rPr>
          <w:i/>
        </w:rPr>
        <w:t>“… the forest growth model 3-PG … to derive a dimensionless index (the Forest Productivity Index, or FPI) that summarises potential site productivity for any given location based on the Normalised Difference Vegetation Index (NDVI), soil fertility, vapour pressure deficit, soil water content, and temperature (Kesteven and Landsberg, 2004).”</w:t>
      </w:r>
    </w:p>
    <w:p>
      <w:pPr>
        <w:ind w:left="504"/>
      </w:pPr>
      <w:r>
        <w:rPr>
          <w:i/>
        </w:rPr>
        <w:t>“This relationship is used to calculate the parameter M (the predicted maximum AGB for a given FPI), and is given by M = (6.011 × √FPI − 5.291)²”  (Eq. 1)</w:t>
      </w:r>
    </w:p>
    <w:p>
      <w:pPr>
        <w:ind w:left="504"/>
      </w:pPr>
      <w:r>
        <w:rPr>
          <w:i/>
        </w:rPr>
        <w:t>“Parameter M is constant for any location in Australia, and is embedded within the FullCAM database as a spatial input layer at a resolution of 0.0025° (or approximately 250 m).”</w:t>
      </w:r>
    </w:p>
    <w:p>
      <w:r>
        <w:t>Three things follow, and together they settle the averaging order. FPI is defined as a property of a LOCATION — "potential site productivity for any given location" — not of a location in a particular year. Eq. (1) is written for "a given FPI", one value in, one value out. And M is "constant for any location in Australia", a single static layer in the FullCAM database. Nowhere does the paper evaluate Eq. (1) on a series of annual FPI values, because in FullCAM no such series exists: the FPI layer Eq. (1) was calibrated against is itself a long-term climatological index (Kesteven and Landsberg, 2004; the empirical relationship is Richards and Brack, 2004).</w:t>
      </w:r>
    </w:p>
    <w:p>
      <w:r>
        <w:t>So the faithful reading is one FPI value per location entering Eq. (1) — which, for a 30-year projection window, means the window-mean FPI. That is the method used here. Applying Eq. (1) to each projected year and averaging the resulting M afterwards is an extension the paper does not describe, and because Eq. (1) is convex above its root it returns a systematically larger number (a median factor of 1.0295 on this domain). It is reported as a sensitivity for exactly that reason.</w:t>
      </w:r>
    </w:p>
    <w:p>
      <w:r>
        <w:t>One honest qualification: the paper does not state an averaging rule, because it never faces the question — it had no time-varying FPI to average. The rule above is inferred from how FPI and M are defined, not quoted from a sentence that settles it. What can be said without inference is that the per-year route has no support in the paper, while the mean-FPI route matches the quantity Eq. (1) was calibrated on.</w:t>
      </w:r>
    </w:p>
    <w:p>
      <w:r>
        <w:t>No retraining was involved. The saved model is loaded, its feature order is asserted against the pipeline's own definition, and it is applied to the BARRA-R2 historical climate through the same soil block, land mask and bilinear regrid the 240 future predictions use. Only the climate year changes.</w:t>
      </w:r>
    </w:p>
    <w:p>
      <w:pPr>
        <w:pStyle w:val="Heading1"/>
      </w:pPr>
      <w:r>
        <w:t>Accuracy of the modelled historical FPI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statistic</w:t>
            </w:r>
          </w:p>
        </w:tc>
        <w:tc>
          <w:tcPr>
            <w:tcW w:type="dxa" w:w="3456"/>
          </w:tcPr>
          <w:p>
            <w:r>
              <w:rPr>
                <w:b/>
                <w:sz w:val="18"/>
              </w:rPr>
              <w:t>what it answers</w:t>
            </w:r>
          </w:p>
        </w:tc>
        <w:tc>
          <w:tcPr>
            <w:tcW w:type="dxa" w:w="1440"/>
          </w:tcPr>
          <w:p>
            <w:r>
              <w:rPr>
                <w:b/>
                <w:sz w:val="18"/>
              </w:rPr>
              <w:t>in sample</w:t>
            </w:r>
          </w:p>
        </w:tc>
        <w:tc>
          <w:tcPr>
            <w:tcW w:type="dxa" w:w="1440"/>
          </w:tcPr>
          <w:p>
            <w:r>
              <w:rPr>
                <w:b/>
                <w:sz w:val="18"/>
              </w:rPr>
              <w:t>out of fold</w:t>
            </w:r>
          </w:p>
        </w:tc>
      </w:tr>
      <w:tr>
        <w:tc>
          <w:tcPr>
            <w:tcW w:type="dxa" w:w="2160"/>
          </w:tcPr>
          <w:p>
            <w:r>
              <w:rPr>
                <w:sz w:val="18"/>
              </w:rPr>
              <w:t>R² / Nash-Sutcliffe</w:t>
            </w:r>
          </w:p>
        </w:tc>
        <w:tc>
          <w:tcPr>
            <w:tcW w:type="dxa" w:w="3456"/>
          </w:tcPr>
          <w:p>
            <w:r>
              <w:rPr>
                <w:sz w:val="18"/>
              </w:rPr>
              <w:t>variance explained; 1.0 is perfect</w:t>
            </w:r>
          </w:p>
        </w:tc>
        <w:tc>
          <w:tcPr>
            <w:tcW w:type="dxa" w:w="1440"/>
          </w:tcPr>
          <w:p>
            <w:r>
              <w:rPr>
                <w:sz w:val="18"/>
              </w:rPr>
              <w:t>0.968</w:t>
            </w:r>
          </w:p>
        </w:tc>
        <w:tc>
          <w:tcPr>
            <w:tcW w:type="dxa" w:w="1440"/>
          </w:tcPr>
          <w:p>
            <w:r>
              <w:rPr>
                <w:sz w:val="18"/>
              </w:rPr>
              <w:t>0.931</w:t>
            </w:r>
          </w:p>
        </w:tc>
      </w:tr>
      <w:tr>
        <w:tc>
          <w:tcPr>
            <w:tcW w:type="dxa" w:w="2160"/>
          </w:tcPr>
          <w:p>
            <w:r>
              <w:rPr>
                <w:sz w:val="18"/>
              </w:rPr>
              <w:t>Pearson r</w:t>
            </w:r>
          </w:p>
        </w:tc>
        <w:tc>
          <w:tcPr>
            <w:tcW w:type="dxa" w:w="3456"/>
          </w:tcPr>
          <w:p>
            <w:r>
              <w:rPr>
                <w:sz w:val="18"/>
              </w:rPr>
              <w:t>correlation only; blind to a level shift</w:t>
            </w:r>
          </w:p>
        </w:tc>
        <w:tc>
          <w:tcPr>
            <w:tcW w:type="dxa" w:w="1440"/>
          </w:tcPr>
          <w:p>
            <w:r>
              <w:rPr>
                <w:sz w:val="18"/>
              </w:rPr>
              <w:t>0.984</w:t>
            </w:r>
          </w:p>
        </w:tc>
        <w:tc>
          <w:tcPr>
            <w:tcW w:type="dxa" w:w="1440"/>
          </w:tcPr>
          <w:p>
            <w:r>
              <w:rPr>
                <w:sz w:val="18"/>
              </w:rPr>
              <w:t>0.965</w:t>
            </w:r>
          </w:p>
        </w:tc>
      </w:tr>
      <w:tr>
        <w:tc>
          <w:tcPr>
            <w:tcW w:type="dxa" w:w="2160"/>
          </w:tcPr>
          <w:p>
            <w:r>
              <w:rPr>
                <w:sz w:val="18"/>
              </w:rPr>
              <w:t>RMSE (FPI units)</w:t>
            </w:r>
          </w:p>
        </w:tc>
        <w:tc>
          <w:tcPr>
            <w:tcW w:type="dxa" w:w="3456"/>
          </w:tcPr>
          <w:p>
            <w:r>
              <w:rPr>
                <w:sz w:val="18"/>
              </w:rPr>
              <w:t>typical error, large misses weighted heavily</w:t>
            </w:r>
          </w:p>
        </w:tc>
        <w:tc>
          <w:tcPr>
            <w:tcW w:type="dxa" w:w="1440"/>
          </w:tcPr>
          <w:p>
            <w:r>
              <w:rPr>
                <w:sz w:val="18"/>
              </w:rPr>
              <w:t>0.513</w:t>
            </w:r>
          </w:p>
        </w:tc>
        <w:tc>
          <w:tcPr>
            <w:tcW w:type="dxa" w:w="1440"/>
          </w:tcPr>
          <w:p>
            <w:r>
              <w:rPr>
                <w:sz w:val="18"/>
              </w:rPr>
              <w:t>0.754</w:t>
            </w:r>
          </w:p>
        </w:tc>
      </w:tr>
      <w:tr>
        <w:tc>
          <w:tcPr>
            <w:tcW w:type="dxa" w:w="2160"/>
          </w:tcPr>
          <w:p>
            <w:r>
              <w:rPr>
                <w:sz w:val="18"/>
              </w:rPr>
              <w:t>RMSE (% of observed mean)</w:t>
            </w:r>
          </w:p>
        </w:tc>
        <w:tc>
          <w:tcPr>
            <w:tcW w:type="dxa" w:w="3456"/>
          </w:tcPr>
          <w:p>
            <w:r>
              <w:rPr>
                <w:sz w:val="18"/>
              </w:rPr>
              <w:t>the same error, unit-free</w:t>
            </w:r>
          </w:p>
        </w:tc>
        <w:tc>
          <w:tcPr>
            <w:tcW w:type="dxa" w:w="1440"/>
          </w:tcPr>
          <w:p>
            <w:r>
              <w:rPr>
                <w:sz w:val="18"/>
              </w:rPr>
              <w:t>12.1</w:t>
            </w:r>
          </w:p>
        </w:tc>
        <w:tc>
          <w:tcPr>
            <w:tcW w:type="dxa" w:w="1440"/>
          </w:tcPr>
          <w:p>
            <w:r>
              <w:rPr>
                <w:sz w:val="18"/>
              </w:rPr>
              <w:t>17.7</w:t>
            </w:r>
          </w:p>
        </w:tc>
      </w:tr>
      <w:tr>
        <w:tc>
          <w:tcPr>
            <w:tcW w:type="dxa" w:w="2160"/>
          </w:tcPr>
          <w:p>
            <w:r>
              <w:rPr>
                <w:sz w:val="18"/>
              </w:rPr>
              <w:t>MAE (FPI units)</w:t>
            </w:r>
          </w:p>
        </w:tc>
        <w:tc>
          <w:tcPr>
            <w:tcW w:type="dxa" w:w="3456"/>
          </w:tcPr>
          <w:p>
            <w:r>
              <w:rPr>
                <w:sz w:val="18"/>
              </w:rPr>
              <w:t>typical error without that weighting</w:t>
            </w:r>
          </w:p>
        </w:tc>
        <w:tc>
          <w:tcPr>
            <w:tcW w:type="dxa" w:w="1440"/>
          </w:tcPr>
          <w:p>
            <w:r>
              <w:rPr>
                <w:sz w:val="18"/>
              </w:rPr>
              <w:t>0.262</w:t>
            </w:r>
          </w:p>
        </w:tc>
        <w:tc>
          <w:tcPr>
            <w:tcW w:type="dxa" w:w="1440"/>
          </w:tcPr>
          <w:p>
            <w:r>
              <w:rPr>
                <w:sz w:val="18"/>
              </w:rPr>
              <w:t>0.548</w:t>
            </w:r>
          </w:p>
        </w:tc>
      </w:tr>
      <w:tr>
        <w:tc>
          <w:tcPr>
            <w:tcW w:type="dxa" w:w="2160"/>
          </w:tcPr>
          <w:p>
            <w:r>
              <w:rPr>
                <w:sz w:val="18"/>
              </w:rPr>
              <w:t>bias (FPI units)</w:t>
            </w:r>
          </w:p>
        </w:tc>
        <w:tc>
          <w:tcPr>
            <w:tcW w:type="dxa" w:w="3456"/>
          </w:tcPr>
          <w:p>
            <w:r>
              <w:rPr>
                <w:sz w:val="18"/>
              </w:rPr>
              <w:t>mean of modelled minus observed</w:t>
            </w:r>
          </w:p>
        </w:tc>
        <w:tc>
          <w:tcPr>
            <w:tcW w:type="dxa" w:w="1440"/>
          </w:tcPr>
          <w:p>
            <w:r>
              <w:rPr>
                <w:sz w:val="18"/>
              </w:rPr>
              <w:t>+0.0019</w:t>
            </w:r>
          </w:p>
        </w:tc>
        <w:tc>
          <w:tcPr>
            <w:tcW w:type="dxa" w:w="1440"/>
          </w:tcPr>
          <w:p>
            <w:r>
              <w:rPr>
                <w:sz w:val="18"/>
              </w:rPr>
              <w:t>+0.0040</w:t>
            </w:r>
          </w:p>
        </w:tc>
      </w:tr>
      <w:tr>
        <w:tc>
          <w:tcPr>
            <w:tcW w:type="dxa" w:w="2160"/>
          </w:tcPr>
          <w:p>
            <w:r>
              <w:rPr>
                <w:sz w:val="18"/>
              </w:rPr>
              <w:t>bias (%)</w:t>
            </w:r>
          </w:p>
        </w:tc>
        <w:tc>
          <w:tcPr>
            <w:tcW w:type="dxa" w:w="3456"/>
          </w:tcPr>
          <w:p>
            <w:r>
              <w:rPr>
                <w:sz w:val="18"/>
              </w:rPr>
              <w:t>the same as a share of the observed mean</w:t>
            </w:r>
          </w:p>
        </w:tc>
        <w:tc>
          <w:tcPr>
            <w:tcW w:type="dxa" w:w="1440"/>
          </w:tcPr>
          <w:p>
            <w:r>
              <w:rPr>
                <w:sz w:val="18"/>
              </w:rPr>
              <w:t>+0.045</w:t>
            </w:r>
          </w:p>
        </w:tc>
        <w:tc>
          <w:tcPr>
            <w:tcW w:type="dxa" w:w="1440"/>
          </w:tcPr>
          <w:p>
            <w:r>
              <w:rPr>
                <w:sz w:val="18"/>
              </w:rPr>
              <w:t>+0.094</w:t>
            </w:r>
          </w:p>
        </w:tc>
      </w:tr>
      <w:tr>
        <w:tc>
          <w:tcPr>
            <w:tcW w:type="dxa" w:w="2160"/>
          </w:tcPr>
          <w:p>
            <w:r>
              <w:rPr>
                <w:sz w:val="18"/>
              </w:rPr>
              <w:t>OLS slope</w:t>
            </w:r>
          </w:p>
        </w:tc>
        <w:tc>
          <w:tcPr>
            <w:tcW w:type="dxa" w:w="3456"/>
          </w:tcPr>
          <w:p>
            <w:r>
              <w:rPr>
                <w:sz w:val="18"/>
              </w:rPr>
              <w:t>1.0 means no compression of the range</w:t>
            </w:r>
          </w:p>
        </w:tc>
        <w:tc>
          <w:tcPr>
            <w:tcW w:type="dxa" w:w="1440"/>
          </w:tcPr>
          <w:p>
            <w:r>
              <w:rPr>
                <w:sz w:val="18"/>
              </w:rPr>
              <w:t>0.955</w:t>
            </w:r>
          </w:p>
        </w:tc>
        <w:tc>
          <w:tcPr>
            <w:tcW w:type="dxa" w:w="1440"/>
          </w:tcPr>
          <w:p>
            <w:r>
              <w:rPr>
                <w:sz w:val="18"/>
              </w:rPr>
              <w:t>0.905</w:t>
            </w:r>
          </w:p>
        </w:tc>
      </w:tr>
      <w:tr>
        <w:tc>
          <w:tcPr>
            <w:tcW w:type="dxa" w:w="2160"/>
          </w:tcPr>
          <w:p>
            <w:r>
              <w:rPr>
                <w:sz w:val="18"/>
              </w:rPr>
              <w:t>OLS intercept</w:t>
            </w:r>
          </w:p>
        </w:tc>
        <w:tc>
          <w:tcPr>
            <w:tcW w:type="dxa" w:w="3456"/>
          </w:tcPr>
          <w:p>
            <w:r>
              <w:rPr>
                <w:sz w:val="18"/>
              </w:rPr>
              <w:t>with slope &lt; 1, the regression-to-the-mean pair</w:t>
            </w:r>
          </w:p>
        </w:tc>
        <w:tc>
          <w:tcPr>
            <w:tcW w:type="dxa" w:w="1440"/>
          </w:tcPr>
          <w:p>
            <w:r>
              <w:rPr>
                <w:sz w:val="18"/>
              </w:rPr>
              <w:t>0.195</w:t>
            </w:r>
          </w:p>
        </w:tc>
        <w:tc>
          <w:tcPr>
            <w:tcW w:type="dxa" w:w="1440"/>
          </w:tcPr>
          <w:p>
            <w:r>
              <w:rPr>
                <w:sz w:val="18"/>
              </w:rPr>
              <w:t>0.410</w:t>
            </w:r>
          </w:p>
        </w:tc>
      </w:tr>
      <w:tr>
        <w:tc>
          <w:tcPr>
            <w:tcW w:type="dxa" w:w="2160"/>
          </w:tcPr>
          <w:p>
            <w:r>
              <w:rPr>
                <w:sz w:val="18"/>
              </w:rPr>
              <w:t>Lin's concordance</w:t>
            </w:r>
          </w:p>
        </w:tc>
        <w:tc>
          <w:tcPr>
            <w:tcW w:type="dxa" w:w="3456"/>
          </w:tcPr>
          <w:p>
            <w:r>
              <w:rPr>
                <w:sz w:val="18"/>
              </w:rPr>
              <w:t>correlation AND agreement with 1:1</w:t>
            </w:r>
          </w:p>
        </w:tc>
        <w:tc>
          <w:tcPr>
            <w:tcW w:type="dxa" w:w="1440"/>
          </w:tcPr>
          <w:p>
            <w:r>
              <w:rPr>
                <w:sz w:val="18"/>
              </w:rPr>
              <w:t>0.983</w:t>
            </w:r>
          </w:p>
        </w:tc>
        <w:tc>
          <w:tcPr>
            <w:tcW w:type="dxa" w:w="1440"/>
          </w:tcPr>
          <w:p>
            <w:r>
              <w:rPr>
                <w:sz w:val="18"/>
              </w:rPr>
              <w:t>0.963</w:t>
            </w:r>
          </w:p>
        </w:tc>
      </w:tr>
      <w:tr>
        <w:tc>
          <w:tcPr>
            <w:tcW w:type="dxa" w:w="2160"/>
          </w:tcPr>
          <w:p>
            <w:r>
              <w:rPr>
                <w:sz w:val="18"/>
              </w:rPr>
              <w:t>Willmott's d</w:t>
            </w:r>
          </w:p>
        </w:tc>
        <w:tc>
          <w:tcPr>
            <w:tcW w:type="dxa" w:w="3456"/>
          </w:tcPr>
          <w:p>
            <w:r>
              <w:rPr>
                <w:sz w:val="18"/>
              </w:rPr>
              <w:t>index of agreement, 0-1, robust to outliers</w:t>
            </w:r>
          </w:p>
        </w:tc>
        <w:tc>
          <w:tcPr>
            <w:tcW w:type="dxa" w:w="1440"/>
          </w:tcPr>
          <w:p>
            <w:r>
              <w:rPr>
                <w:sz w:val="18"/>
              </w:rPr>
              <w:t>0.992</w:t>
            </w:r>
          </w:p>
        </w:tc>
        <w:tc>
          <w:tcPr>
            <w:tcW w:type="dxa" w:w="1440"/>
          </w:tcPr>
          <w:p>
            <w:r>
              <w:rPr>
                <w:sz w:val="18"/>
              </w:rPr>
              <w:t>0.981</w:t>
            </w:r>
          </w:p>
        </w:tc>
      </w:tr>
      <w:tr>
        <w:tc>
          <w:tcPr>
            <w:tcW w:type="dxa" w:w="2160"/>
          </w:tcPr>
          <w:p>
            <w:r>
              <w:rPr>
                <w:sz w:val="18"/>
              </w:rPr>
              <w:t>observed mean, sd</w:t>
            </w:r>
          </w:p>
        </w:tc>
        <w:tc>
          <w:tcPr>
            <w:tcW w:type="dxa" w:w="3456"/>
          </w:tcPr>
          <w:p>
            <w:r>
              <w:rPr>
                <w:sz w:val="18"/>
              </w:rPr>
              <w:t>the reference distribution</w:t>
            </w:r>
          </w:p>
        </w:tc>
        <w:tc>
          <w:tcPr>
            <w:tcW w:type="dxa" w:w="1440"/>
          </w:tcPr>
          <w:p>
            <w:r>
              <w:rPr>
                <w:sz w:val="18"/>
              </w:rPr>
              <w:t>4.26, 2.86</w:t>
            </w:r>
          </w:p>
        </w:tc>
        <w:tc>
          <w:tcPr>
            <w:tcW w:type="dxa" w:w="1440"/>
          </w:tcPr>
          <w:p>
            <w:r>
              <w:rPr>
                <w:sz w:val="18"/>
              </w:rPr>
              <w:t>4.26, 2.86</w:t>
            </w:r>
          </w:p>
        </w:tc>
      </w:tr>
      <w:tr>
        <w:tc>
          <w:tcPr>
            <w:tcW w:type="dxa" w:w="2160"/>
          </w:tcPr>
          <w:p>
            <w:r>
              <w:rPr>
                <w:sz w:val="18"/>
              </w:rPr>
              <w:t>modelled mean, sd</w:t>
            </w:r>
          </w:p>
        </w:tc>
        <w:tc>
          <w:tcPr>
            <w:tcW w:type="dxa" w:w="3456"/>
          </w:tcPr>
          <w:p>
            <w:r>
              <w:rPr>
                <w:sz w:val="18"/>
              </w:rPr>
              <w:t>narrower sd = the forest smooths extremes</w:t>
            </w:r>
          </w:p>
        </w:tc>
        <w:tc>
          <w:tcPr>
            <w:tcW w:type="dxa" w:w="1440"/>
          </w:tcPr>
          <w:p>
            <w:r>
              <w:rPr>
                <w:sz w:val="18"/>
              </w:rPr>
              <w:t>4.26, 2.77</w:t>
            </w:r>
          </w:p>
        </w:tc>
        <w:tc>
          <w:tcPr>
            <w:tcW w:type="dxa" w:w="1440"/>
          </w:tcPr>
          <w:p>
            <w:r>
              <w:rPr>
                <w:sz w:val="18"/>
              </w:rPr>
              <w:t>4.26, 2.68</w:t>
            </w:r>
          </w:p>
        </w:tc>
      </w:tr>
      <w:tr>
        <w:tc>
          <w:tcPr>
            <w:tcW w:type="dxa" w:w="2160"/>
          </w:tcPr>
          <w:p>
            <w:r>
              <w:rPr>
                <w:sz w:val="18"/>
              </w:rPr>
              <w:t>n</w:t>
            </w:r>
          </w:p>
        </w:tc>
        <w:tc>
          <w:tcPr>
            <w:tcW w:type="dxa" w:w="3456"/>
          </w:tcPr>
          <w:p>
            <w:r>
              <w:rPr>
                <w:sz w:val="18"/>
              </w:rPr>
              <w:t>cell-years compared</w:t>
            </w:r>
          </w:p>
        </w:tc>
        <w:tc>
          <w:tcPr>
            <w:tcW w:type="dxa" w:w="1440"/>
          </w:tcPr>
          <w:p>
            <w:r>
              <w:rPr>
                <w:sz w:val="18"/>
              </w:rPr>
              <w:t>1,500,000</w:t>
            </w:r>
          </w:p>
        </w:tc>
        <w:tc>
          <w:tcPr>
            <w:tcW w:type="dxa" w:w="1440"/>
          </w:tcPr>
          <w:p>
            <w:r>
              <w:rPr>
                <w:sz w:val="18"/>
              </w:rPr>
              <w:t>2,086,920</w:t>
            </w:r>
          </w:p>
        </w:tc>
      </w:tr>
    </w:tbl>
    <w:p/>
    <w:p>
      <w:r>
        <w:t>These are the statistics for Figure 1a and 1b. Two of them deserve comment. The OLS slope is 0.955 in sample and 0.905 out of fold, with a positive intercept in both: the forest compresses the range slightly, over-predicting the lowest cells and under-predicting the highest, which is what a tree ensemble does by construction because it averages over leaves and cannot extrapolate. The modelled standard deviation is correspondingly smaller than the observed one (2.68 against 2.86 out of fold). Neither is large enough to distort the ratio M' is built from, since the same compression appears in the numerator and the denominator, but both should be stated rather than left to the R².</w:t>
      </w:r>
    </w:p>
    <w:p>
      <w:r>
        <w:t>The two rows answer different questions. Out of fold, every row was predicted by a forest that never saw that year, which is the same act as projecting 2035-2099; that is the accuracy figure. In sample measures fit, not skill — but it is the relevant number for the denominator swap, because it says how far the modelled denominator sits from the observed one. Per-year in-sample R² runs 0.953 to 0.973 with no trend across the 30 years, and per-year bias stays within ±0.08 FPI units.</w:t>
      </w:r>
    </w:p>
    <w:p>
      <w:r>
        <w:t>Comparing a future projection against observed history would be neither of these: that is a trend comparison, and the two are not supposed to agree.</w:t>
      </w:r>
    </w:p>
    <w:p>
      <w:pPr>
        <w:pStyle w:val="Heading2"/>
      </w:pPr>
      <w:r>
        <w:t>Cross-validation under three schemes</w:t>
      </w:r>
    </w:p>
    <w:p>
      <w:r>
        <w:t>The out-of-fold row above is one of three schemes the random forest was cross-validated under. All three hold out five folds and predict every one of the 2,086,920 cell-years exactly once, by the fold that did not train on it, so the three columns are computed on the same data and differ only in what is held out.</w:t>
      </w:r>
    </w:p>
    <w:p>
      <w:pPr>
        <w:pStyle w:val="ListBullet"/>
      </w:pPr>
      <w:r>
        <w:t>Random k-fold holds out scattered cell-years. It is the conventional number and the optimistic one: at 1 km FPI is strongly autocorrelated in space and in time, so almost every held-out row is ringed by its own neighbours in the training set.</w:t>
      </w:r>
    </w:p>
    <w:p>
      <w:pPr>
        <w:pStyle w:val="ListBullet"/>
      </w:pPr>
      <w:r>
        <w:t>Spatial block CV holds out contiguous 2-degree blocks, and asks whether the model can predict a region it has never seen. Contiguous blocks rather than scattered cells, for the reason above.</w:t>
      </w:r>
    </w:p>
    <w:p>
      <w:pPr>
        <w:pStyle w:val="ListBullet"/>
      </w:pPr>
      <w:r>
        <w:t>Year-group CV holds out whole years, and asks whether the model can predict a year it has never seen. That is exactly the act of projecting 2035-2099, so this is the column to quote as the accuracy of the modelled FPI.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872"/>
          </w:tcPr>
          <w:p>
            <w:r>
              <w:rPr>
                <w:b/>
                <w:sz w:val="18"/>
              </w:rPr>
              <w:t>validation scheme</w:t>
            </w:r>
          </w:p>
        </w:tc>
        <w:tc>
          <w:tcPr>
            <w:tcW w:type="dxa" w:w="1872"/>
          </w:tcPr>
          <w:p>
            <w:r>
              <w:rPr>
                <w:b/>
                <w:sz w:val="18"/>
              </w:rPr>
              <w:t>holds out</w:t>
            </w:r>
          </w:p>
        </w:tc>
        <w:tc>
          <w:tcPr>
            <w:tcW w:type="dxa" w:w="1008"/>
          </w:tcPr>
          <w:p>
            <w:r>
              <w:rPr>
                <w:b/>
                <w:sz w:val="18"/>
              </w:rPr>
              <w:t>R²</w:t>
            </w:r>
          </w:p>
        </w:tc>
        <w:tc>
          <w:tcPr>
            <w:tcW w:type="dxa" w:w="1008"/>
          </w:tcPr>
          <w:p>
            <w:r>
              <w:rPr>
                <w:b/>
                <w:sz w:val="18"/>
              </w:rPr>
              <w:t>r</w:t>
            </w:r>
          </w:p>
        </w:tc>
        <w:tc>
          <w:tcPr>
            <w:tcW w:type="dxa" w:w="1008"/>
          </w:tcPr>
          <w:p>
            <w:r>
              <w:rPr>
                <w:b/>
                <w:sz w:val="18"/>
              </w:rPr>
              <w:t>RMSE</w:t>
            </w:r>
          </w:p>
        </w:tc>
        <w:tc>
          <w:tcPr>
            <w:tcW w:type="dxa" w:w="1008"/>
          </w:tcPr>
          <w:p>
            <w:r>
              <w:rPr>
                <w:b/>
                <w:sz w:val="18"/>
              </w:rPr>
              <w:t>MAE</w:t>
            </w:r>
          </w:p>
        </w:tc>
        <w:tc>
          <w:tcPr>
            <w:tcW w:type="dxa" w:w="1152"/>
          </w:tcPr>
          <w:p>
            <w:r>
              <w:rPr>
                <w:b/>
                <w:sz w:val="18"/>
              </w:rPr>
              <w:t>bias</w:t>
            </w:r>
          </w:p>
        </w:tc>
      </w:tr>
      <w:tr>
        <w:tc>
          <w:tcPr>
            <w:tcW w:type="dxa" w:w="1872"/>
          </w:tcPr>
          <w:p>
            <w:r>
              <w:rPr>
                <w:sz w:val="18"/>
              </w:rPr>
              <w:t>random k-fold</w:t>
            </w:r>
          </w:p>
        </w:tc>
        <w:tc>
          <w:tcPr>
            <w:tcW w:type="dxa" w:w="1872"/>
          </w:tcPr>
          <w:p>
            <w:r>
              <w:rPr>
                <w:sz w:val="18"/>
              </w:rPr>
              <w:t>scattered cell-years</w:t>
            </w:r>
          </w:p>
        </w:tc>
        <w:tc>
          <w:tcPr>
            <w:tcW w:type="dxa" w:w="1008"/>
          </w:tcPr>
          <w:p>
            <w:r>
              <w:rPr>
                <w:sz w:val="18"/>
              </w:rPr>
              <w:t>0.978</w:t>
            </w:r>
          </w:p>
        </w:tc>
        <w:tc>
          <w:tcPr>
            <w:tcW w:type="dxa" w:w="1008"/>
          </w:tcPr>
          <w:p>
            <w:r>
              <w:rPr>
                <w:sz w:val="18"/>
              </w:rPr>
              <w:t>0.989</w:t>
            </w:r>
          </w:p>
        </w:tc>
        <w:tc>
          <w:tcPr>
            <w:tcW w:type="dxa" w:w="1008"/>
          </w:tcPr>
          <w:p>
            <w:r>
              <w:rPr>
                <w:sz w:val="18"/>
              </w:rPr>
              <w:t>0.429</w:t>
            </w:r>
          </w:p>
        </w:tc>
        <w:tc>
          <w:tcPr>
            <w:tcW w:type="dxa" w:w="1008"/>
          </w:tcPr>
          <w:p>
            <w:r>
              <w:rPr>
                <w:sz w:val="18"/>
              </w:rPr>
              <w:t>0.249</w:t>
            </w:r>
          </w:p>
        </w:tc>
        <w:tc>
          <w:tcPr>
            <w:tcW w:type="dxa" w:w="1152"/>
          </w:tcPr>
          <w:p>
            <w:r>
              <w:rPr>
                <w:sz w:val="18"/>
              </w:rPr>
              <w:t>+0.0008</w:t>
            </w:r>
          </w:p>
        </w:tc>
      </w:tr>
      <w:tr>
        <w:tc>
          <w:tcPr>
            <w:tcW w:type="dxa" w:w="1872"/>
          </w:tcPr>
          <w:p>
            <w:r>
              <w:rPr>
                <w:sz w:val="18"/>
              </w:rPr>
              <w:t>spatial block CV</w:t>
            </w:r>
          </w:p>
        </w:tc>
        <w:tc>
          <w:tcPr>
            <w:tcW w:type="dxa" w:w="1872"/>
          </w:tcPr>
          <w:p>
            <w:r>
              <w:rPr>
                <w:sz w:val="18"/>
              </w:rPr>
              <w:t>contiguous 2° blocks</w:t>
            </w:r>
          </w:p>
        </w:tc>
        <w:tc>
          <w:tcPr>
            <w:tcW w:type="dxa" w:w="1008"/>
          </w:tcPr>
          <w:p>
            <w:r>
              <w:rPr>
                <w:sz w:val="18"/>
              </w:rPr>
              <w:t>0.932</w:t>
            </w:r>
          </w:p>
        </w:tc>
        <w:tc>
          <w:tcPr>
            <w:tcW w:type="dxa" w:w="1008"/>
          </w:tcPr>
          <w:p>
            <w:r>
              <w:rPr>
                <w:sz w:val="18"/>
              </w:rPr>
              <w:t>0.966</w:t>
            </w:r>
          </w:p>
        </w:tc>
        <w:tc>
          <w:tcPr>
            <w:tcW w:type="dxa" w:w="1008"/>
          </w:tcPr>
          <w:p>
            <w:r>
              <w:rPr>
                <w:sz w:val="18"/>
              </w:rPr>
              <w:t>0.745</w:t>
            </w:r>
          </w:p>
        </w:tc>
        <w:tc>
          <w:tcPr>
            <w:tcW w:type="dxa" w:w="1008"/>
          </w:tcPr>
          <w:p>
            <w:r>
              <w:rPr>
                <w:sz w:val="18"/>
              </w:rPr>
              <w:t>0.446</w:t>
            </w:r>
          </w:p>
        </w:tc>
        <w:tc>
          <w:tcPr>
            <w:tcW w:type="dxa" w:w="1152"/>
          </w:tcPr>
          <w:p>
            <w:r>
              <w:rPr>
                <w:sz w:val="18"/>
              </w:rPr>
              <w:t>+0.0117</w:t>
            </w:r>
          </w:p>
        </w:tc>
      </w:tr>
      <w:tr>
        <w:tc>
          <w:tcPr>
            <w:tcW w:type="dxa" w:w="1872"/>
          </w:tcPr>
          <w:p>
            <w:r>
              <w:rPr>
                <w:sz w:val="18"/>
              </w:rPr>
              <w:t>year-group CV</w:t>
            </w:r>
          </w:p>
        </w:tc>
        <w:tc>
          <w:tcPr>
            <w:tcW w:type="dxa" w:w="1872"/>
          </w:tcPr>
          <w:p>
            <w:r>
              <w:rPr>
                <w:sz w:val="18"/>
              </w:rPr>
              <w:t>whole years</w:t>
            </w:r>
          </w:p>
        </w:tc>
        <w:tc>
          <w:tcPr>
            <w:tcW w:type="dxa" w:w="1008"/>
          </w:tcPr>
          <w:p>
            <w:r>
              <w:rPr>
                <w:sz w:val="18"/>
              </w:rPr>
              <w:t>0.931</w:t>
            </w:r>
          </w:p>
        </w:tc>
        <w:tc>
          <w:tcPr>
            <w:tcW w:type="dxa" w:w="1008"/>
          </w:tcPr>
          <w:p>
            <w:r>
              <w:rPr>
                <w:sz w:val="18"/>
              </w:rPr>
              <w:t>0.965</w:t>
            </w:r>
          </w:p>
        </w:tc>
        <w:tc>
          <w:tcPr>
            <w:tcW w:type="dxa" w:w="1008"/>
          </w:tcPr>
          <w:p>
            <w:r>
              <w:rPr>
                <w:sz w:val="18"/>
              </w:rPr>
              <w:t>0.754</w:t>
            </w:r>
          </w:p>
        </w:tc>
        <w:tc>
          <w:tcPr>
            <w:tcW w:type="dxa" w:w="1008"/>
          </w:tcPr>
          <w:p>
            <w:r>
              <w:rPr>
                <w:sz w:val="18"/>
              </w:rPr>
              <w:t>0.548</w:t>
            </w:r>
          </w:p>
        </w:tc>
        <w:tc>
          <w:tcPr>
            <w:tcW w:type="dxa" w:w="1152"/>
          </w:tcPr>
          <w:p>
            <w:r>
              <w:rPr>
                <w:sz w:val="18"/>
              </w:rPr>
              <w:t>+0.0040</w:t>
            </w:r>
          </w:p>
        </w:tc>
      </w:tr>
    </w:tbl>
    <w:p/>
    <w:p>
      <w:pPr>
        <w:jc w:val="left"/>
      </w:pPr>
      <w:r>
        <w:rPr>
          <w:i/>
          <w:color w:val="52514E"/>
          <w:sz w:val="17"/>
        </w:rPr>
        <w:t>Table. Accuracy of the modelled historical FPI (1985-2014) under three cross-validation schemes. RMSE, MAE and bias are in FPI units; each scheme is computed on all 2,086,920 cell-years. Quote the year-group row.</w:t>
      </w:r>
    </w:p>
    <w:p>
      <w:r>
        <w:t>Read the three together rather than separately. The gap between random k-fold and the other two is the size of the leak a random split allows, not a defect of the model, and the fact that the spatial and temporal schemes land so close to each other says the model is about equally transferable in space and in time. Bias stays below 0.28% of the observed mean under every scheme, so nothing here shifts the level of the ratio M' is built from.</w:t>
      </w:r>
    </w:p>
    <w:p>
      <w:r>
        <w:t>Figure 1a plots the random forest's FPI against the observed DCCEEW FPI. The x axis is the observed value for one 1 km cell in one year, the y axis the forest's prediction for that same cell and year, and each hexagon counts how many cell-years fall in it — 60,000 cells drawn at random within each of the 30 years, 1.8 million points in total. It is NOT a comparison of 30-year averages; that is Figure 2. The dashed line is 1:1, so a point above it means the forest predicted more productivity than was observed. The statistics printed on the panel are in sample, meaning these 30 years are the years the forest was trained on, so the figure shows how faithfully it reproduces its own training data.</w:t>
      </w:r>
    </w:p>
    <w:p>
      <w:r>
        <w:t>How it is computed: for each year, the saved forest predicts FPI at every land cell; 60,000 of those cells are drawn at random and paired with the observed value at the same cell and year; the 30 years are pooled and binned into hexagons, each shaded by how many pairs it holds. The colour scale is linear but clipped at the 98th percentile of the hexagon counts, because a handful of hexagons on the 1:1 line hold orders of magnitude more cells than the rest and would otherwise flatten the whole picture into one pale shade; the colourbar says so. The accompanying statistics over all 6,956,407 cells and 30 years are R² 0.968, RMSE 0.51 FPI units, MAE 0.26 and bias +0.002 — the bias being the mean of (modelled - observed), so a value this close to zero says the forest is not systematically high or low. The headline six are printed on the panel itself; the full set, including Lin's concordance and Willmott's d, is in the table above.</w:t>
      </w:r>
    </w:p>
    <w:p>
      <w:r>
        <w:t>How to read it: the band should hug the dashed 1:1 line. It does so tightly below about FPI 4, which is most of the continent, and fans out above it, where fewer cells and larger values make each prediction harder. Points above the line are years and places where the forest predicted more productivity than was observed.</w:t>
      </w:r>
    </w:p>
    <w:p>
      <w:pPr>
        <w:jc w:val="center"/>
      </w:pPr>
      <w:r>
        <w:drawing>
          <wp:inline xmlns:a="http://schemas.openxmlformats.org/drawingml/2006/main" xmlns:pic="http://schemas.openxmlformats.org/drawingml/2006/picture">
            <wp:extent cx="5852160" cy="4530705"/>
            <wp:docPr id="1" name="Picture 1"/>
            <wp:cNvGraphicFramePr>
              <a:graphicFrameLocks noChangeAspect="1"/>
            </wp:cNvGraphicFramePr>
            <a:graphic>
              <a:graphicData uri="http://schemas.openxmlformats.org/drawingml/2006/picture">
                <pic:pic>
                  <pic:nvPicPr>
                    <pic:cNvPr id="0" name="fig_01a_modelled_vs_observed.png"/>
                    <pic:cNvPicPr/>
                  </pic:nvPicPr>
                  <pic:blipFill>
                    <a:blip r:embed="rId9"/>
                    <a:stretch>
                      <a:fillRect/>
                    </a:stretch>
                  </pic:blipFill>
                  <pic:spPr>
                    <a:xfrm>
                      <a:off x="0" y="0"/>
                      <a:ext cx="5852160" cy="4530705"/>
                    </a:xfrm>
                    <a:prstGeom prst="rect"/>
                  </pic:spPr>
                </pic:pic>
              </a:graphicData>
            </a:graphic>
          </wp:inline>
        </w:drawing>
      </w:r>
    </w:p>
    <w:p>
      <w:pPr>
        <w:jc w:val="left"/>
      </w:pPr>
      <w:r>
        <w:rPr>
          <w:i/>
          <w:color w:val="52514E"/>
          <w:sz w:val="17"/>
        </w:rPr>
        <w:t>Figure 1a. Random forest FPI against observed DCCEEW FPI, all 30 years, linear axes and linear hexbin density.</w:t>
      </w:r>
    </w:p>
    <w:p>
      <w:r>
        <w:t>Figure 1b splits that by year and adds the number that matters. The blue line is the same in-sample fit, one R² per year. The orange line is the out-of-fold result: for each year, the prediction comes from a forest trained on the other 24 years, so that year was unseen. The vertical gap between the lines is the cost of predicting a year the model has not met, which is exactly what the projection to 2035-2099 asks of it. The orange line is therefore the accuracy to quote, and it is the lower one.</w:t>
      </w:r>
    </w:p>
    <w:p>
      <w:r>
        <w:t>How it is computed: the blue point for a year is the R² of the saved forest's prediction against the observed layer for that year, over the full grid. The orange point comes from the year-group cross-validation already run in Random_forest_CSIRO/Step_03, where the 30 years are split into five folds of six years; each year is predicted by the forest fitted to the other 24. Pooled, blue gives R² 0.968 and orange 0.931, and no year departs from its line by enough to change that reading.</w:t>
      </w:r>
    </w:p>
    <w:p>
      <w:pPr>
        <w:jc w:val="center"/>
      </w:pPr>
      <w:r>
        <w:drawing>
          <wp:inline xmlns:a="http://schemas.openxmlformats.org/drawingml/2006/main" xmlns:pic="http://schemas.openxmlformats.org/drawingml/2006/picture">
            <wp:extent cx="5852160" cy="4530705"/>
            <wp:docPr id="2" name="Picture 2"/>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in sample against out of fold.</w:t>
      </w:r>
    </w:p>
    <w:p>
      <w:pPr>
        <w:jc w:val="center"/>
      </w:pPr>
      <w:r>
        <w:drawing>
          <wp:inline xmlns:a="http://schemas.openxmlformats.org/drawingml/2006/main" xmlns:pic="http://schemas.openxmlformats.org/drawingml/2006/picture">
            <wp:extent cx="5852160" cy="4530705"/>
            <wp:docPr id="3" name="Picture 3"/>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The gap between the two lines is the cost of predicting an unseen year.</w:t>
      </w:r>
    </w:p>
    <w:p>
      <w:r>
        <w:t>Figure 2 is the same comparison in space rather than in points. Panel (a) averages the 30 observed annual FPI layers, panel (b) averages the 30 modelled ones, and both use one colour scale so they can be read against each other directly. Panel (c) subtracts one from the other: red means the forest sits above the observation at that cell, blue below, and the scale is symmetric about zero so the two directions cannot be confused. What to look for is whether the residual has structure. It does not: the difference is fine-grained and scattered along the forested east, south-west and Tasmania rather than forming large regions of one sign, which is what a systematic failure would look like.</w:t>
      </w:r>
    </w:p>
    <w:p>
      <w:r>
        <w:t>How it is computed: panel (a) is the cell-wise mean of the 30 observed annual FPI rasters, panel (b) the cell-wise mean of the 30 modelled ones, and panel (c) is (b) minus (a). Panels (a) and (b) share one colour scale so they can be compared directly; panel (c) uses a diverging scale centred on zero, symmetric so that equal errors in either direction look equally large.</w:t>
      </w:r>
    </w:p>
    <w:p>
      <w:pPr>
        <w:jc w:val="center"/>
      </w:pPr>
      <w:r>
        <w:drawing>
          <wp:inline xmlns:a="http://schemas.openxmlformats.org/drawingml/2006/main" xmlns:pic="http://schemas.openxmlformats.org/drawingml/2006/picture">
            <wp:extent cx="5852160" cy="2020974"/>
            <wp:docPr id="4" name="Picture 4"/>
            <wp:cNvGraphicFramePr>
              <a:graphicFrameLocks noChangeAspect="1"/>
            </wp:cNvGraphicFramePr>
            <a:graphic>
              <a:graphicData uri="http://schemas.openxmlformats.org/drawingml/2006/picture">
                <pic:pic>
                  <pic:nvPicPr>
                    <pic:cNvPr id="0" name="fig_02_hist_fpi_maps.png"/>
                    <pic:cNvPicPr/>
                  </pic:nvPicPr>
                  <pic:blipFill>
                    <a:blip r:embed="rId11"/>
                    <a:stretch>
                      <a:fillRect/>
                    </a:stretch>
                  </pic:blipFill>
                  <pic:spPr>
                    <a:xfrm>
                      <a:off x="0" y="0"/>
                      <a:ext cx="5852160" cy="2020974"/>
                    </a:xfrm>
                    <a:prstGeom prst="rect"/>
                  </pic:spPr>
                </pic:pic>
              </a:graphicData>
            </a:graphic>
          </wp:inline>
        </w:drawing>
      </w:r>
    </w:p>
    <w:p>
      <w:pPr>
        <w:jc w:val="left"/>
      </w:pPr>
      <w:r>
        <w:rPr>
          <w:i/>
          <w:color w:val="52514E"/>
          <w:sz w:val="17"/>
        </w:rPr>
        <w:t>Figure 2. Mean FPI 1985-2014: observed (a), modelled (b), and their difference (c).</w:t>
      </w:r>
    </w:p>
    <w:p>
      <w:pPr>
        <w:pStyle w:val="Heading1"/>
      </w:pPr>
      <w:r>
        <w:t>What the modelled denominator changes</w:t>
      </w:r>
    </w:p>
    <w:p>
      <w:r>
        <w:t>Modelled ÷ observed historical M has a median of 1.0066 (p05-p95 0.818-1.228). The forest's historical bias was small, so M' moves by well under a percent on that account. The change is methodological rather than numerical — which is the point: the bias now cancels by construction instead of by luck.</w:t>
      </w:r>
    </w:p>
    <w:p>
      <w:pPr>
        <w:pStyle w:val="Heading2"/>
      </w:pPr>
      <w:r>
        <w:t>The averaging order, which matters more</w:t>
      </w:r>
    </w:p>
    <w:p>
      <w:r>
        <w:t>Eq. (1) is convex above its root, so mean_y[Eq1(FPI_y)] ≥ Eq1(mean_y FPI_y); the median gap is 1.0319 on the observed layers and 1.0295 on the modelled ones. The pipeline wrote the numerator in both orders but only ever built the denominator in one, so a per-year numerator was being divided by a mean-FPI denominator and the gap entered the ratio as a climate signal. Both orders are now built and paired like with like.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sz w:val="18"/>
              </w:rPr>
              <w:t>denominator</w:t>
            </w:r>
          </w:p>
        </w:tc>
        <w:tc>
          <w:tcPr>
            <w:tcW w:type="dxa" w:w="2016"/>
          </w:tcPr>
          <w:p>
            <w:r>
              <w:rPr>
                <w:b/>
                <w:sz w:val="18"/>
              </w:rPr>
              <w:t>FPI source</w:t>
            </w:r>
          </w:p>
        </w:tc>
        <w:tc>
          <w:tcPr>
            <w:tcW w:type="dxa" w:w="2160"/>
          </w:tcPr>
          <w:p>
            <w:r>
              <w:rPr>
                <w:b/>
                <w:sz w:val="18"/>
              </w:rPr>
              <w:t>averaging order</w:t>
            </w:r>
          </w:p>
        </w:tc>
        <w:tc>
          <w:tcPr>
            <w:tcW w:type="dxa" w:w="1008"/>
          </w:tcPr>
          <w:p>
            <w:r>
              <w:rPr>
                <w:b/>
                <w:sz w:val="18"/>
              </w:rPr>
              <w:t>mean</w:t>
            </w:r>
          </w:p>
        </w:tc>
        <w:tc>
          <w:tcPr>
            <w:tcW w:type="dxa" w:w="1008"/>
          </w:tcPr>
          <w:p>
            <w:r>
              <w:rPr>
                <w:b/>
                <w:sz w:val="18"/>
              </w:rPr>
              <w:t>median</w:t>
            </w:r>
          </w:p>
        </w:tc>
      </w:tr>
      <w:tr>
        <w:tc>
          <w:tcPr>
            <w:tcW w:type="dxa" w:w="2448"/>
          </w:tcPr>
          <w:p>
            <w:r>
              <w:rPr>
                <w:sz w:val="18"/>
              </w:rPr>
              <w:t>RF_mean_of_annual</w:t>
            </w:r>
          </w:p>
        </w:tc>
        <w:tc>
          <w:tcPr>
            <w:tcW w:type="dxa" w:w="2016"/>
          </w:tcPr>
          <w:p>
            <w:r>
              <w:rPr>
                <w:sz w:val="18"/>
              </w:rPr>
              <w:t>random forest</w:t>
            </w:r>
          </w:p>
        </w:tc>
        <w:tc>
          <w:tcPr>
            <w:tcW w:type="dxa" w:w="2160"/>
          </w:tcPr>
          <w:p>
            <w:r>
              <w:rPr>
                <w:sz w:val="18"/>
              </w:rPr>
              <w:t>mean_y Eq1(FPI_y)</w:t>
            </w:r>
          </w:p>
        </w:tc>
        <w:tc>
          <w:tcPr>
            <w:tcW w:type="dxa" w:w="1008"/>
          </w:tcPr>
          <w:p>
            <w:r>
              <w:rPr>
                <w:sz w:val="18"/>
              </w:rPr>
              <w:t>56.82</w:t>
            </w:r>
          </w:p>
        </w:tc>
        <w:tc>
          <w:tcPr>
            <w:tcW w:type="dxa" w:w="1008"/>
          </w:tcPr>
          <w:p>
            <w:r>
              <w:rPr>
                <w:sz w:val="18"/>
              </w:rPr>
              <w:t>31.87</w:t>
            </w:r>
          </w:p>
        </w:tc>
      </w:tr>
      <w:tr>
        <w:tc>
          <w:tcPr>
            <w:tcW w:type="dxa" w:w="2448"/>
          </w:tcPr>
          <w:p>
            <w:r>
              <w:rPr>
                <w:sz w:val="18"/>
              </w:rPr>
              <w:t>RF_eq1_of_mean</w:t>
            </w:r>
          </w:p>
        </w:tc>
        <w:tc>
          <w:tcPr>
            <w:tcW w:type="dxa" w:w="2016"/>
          </w:tcPr>
          <w:p>
            <w:r>
              <w:rPr>
                <w:sz w:val="18"/>
              </w:rPr>
              <w:t>random forest</w:t>
            </w:r>
          </w:p>
        </w:tc>
        <w:tc>
          <w:tcPr>
            <w:tcW w:type="dxa" w:w="2160"/>
          </w:tcPr>
          <w:p>
            <w:r>
              <w:rPr>
                <w:sz w:val="18"/>
              </w:rPr>
              <w:t>Eq1(mean_y FPI_y)</w:t>
            </w:r>
          </w:p>
        </w:tc>
        <w:tc>
          <w:tcPr>
            <w:tcW w:type="dxa" w:w="1008"/>
          </w:tcPr>
          <w:p>
            <w:r>
              <w:rPr>
                <w:sz w:val="18"/>
              </w:rPr>
              <w:t>55.64</w:t>
            </w:r>
          </w:p>
        </w:tc>
        <w:tc>
          <w:tcPr>
            <w:tcW w:type="dxa" w:w="1008"/>
          </w:tcPr>
          <w:p>
            <w:r>
              <w:rPr>
                <w:sz w:val="18"/>
              </w:rPr>
              <w:t>30.70</w:t>
            </w:r>
          </w:p>
        </w:tc>
      </w:tr>
      <w:tr>
        <w:tc>
          <w:tcPr>
            <w:tcW w:type="dxa" w:w="2448"/>
          </w:tcPr>
          <w:p>
            <w:r>
              <w:rPr>
                <w:sz w:val="18"/>
              </w:rPr>
              <w:t>OBS_mean_of_annual</w:t>
            </w:r>
          </w:p>
        </w:tc>
        <w:tc>
          <w:tcPr>
            <w:tcW w:type="dxa" w:w="2016"/>
          </w:tcPr>
          <w:p>
            <w:r>
              <w:rPr>
                <w:sz w:val="18"/>
              </w:rPr>
              <w:t>observed DCCEEW FPI</w:t>
            </w:r>
          </w:p>
        </w:tc>
        <w:tc>
          <w:tcPr>
            <w:tcW w:type="dxa" w:w="2160"/>
          </w:tcPr>
          <w:p>
            <w:r>
              <w:rPr>
                <w:sz w:val="18"/>
              </w:rPr>
              <w:t>mean_y Eq1(FPI_y)</w:t>
            </w:r>
          </w:p>
        </w:tc>
        <w:tc>
          <w:tcPr>
            <w:tcW w:type="dxa" w:w="1008"/>
          </w:tcPr>
          <w:p>
            <w:r>
              <w:rPr>
                <w:sz w:val="18"/>
              </w:rPr>
              <w:t>57.04</w:t>
            </w:r>
          </w:p>
        </w:tc>
        <w:tc>
          <w:tcPr>
            <w:tcW w:type="dxa" w:w="1008"/>
          </w:tcPr>
          <w:p>
            <w:r>
              <w:rPr>
                <w:sz w:val="18"/>
              </w:rPr>
              <w:t>32.17</w:t>
            </w:r>
          </w:p>
        </w:tc>
      </w:tr>
      <w:tr>
        <w:tc>
          <w:tcPr>
            <w:tcW w:type="dxa" w:w="2448"/>
          </w:tcPr>
          <w:p>
            <w:r>
              <w:rPr>
                <w:sz w:val="18"/>
              </w:rPr>
              <w:t>OBS_eq1_of_mean</w:t>
            </w:r>
          </w:p>
        </w:tc>
        <w:tc>
          <w:tcPr>
            <w:tcW w:type="dxa" w:w="2016"/>
          </w:tcPr>
          <w:p>
            <w:r>
              <w:rPr>
                <w:sz w:val="18"/>
              </w:rPr>
              <w:t>observed DCCEEW FPI</w:t>
            </w:r>
          </w:p>
        </w:tc>
        <w:tc>
          <w:tcPr>
            <w:tcW w:type="dxa" w:w="2160"/>
          </w:tcPr>
          <w:p>
            <w:r>
              <w:rPr>
                <w:sz w:val="18"/>
              </w:rPr>
              <w:t>Eq1(mean_y FPI_y)</w:t>
            </w:r>
          </w:p>
        </w:tc>
        <w:tc>
          <w:tcPr>
            <w:tcW w:type="dxa" w:w="1008"/>
          </w:tcPr>
          <w:p>
            <w:r>
              <w:rPr>
                <w:sz w:val="18"/>
              </w:rPr>
              <w:t>55.77</w:t>
            </w:r>
          </w:p>
        </w:tc>
        <w:tc>
          <w:tcPr>
            <w:tcW w:type="dxa" w:w="1008"/>
          </w:tcPr>
          <w:p>
            <w:r>
              <w:rPr>
                <w:sz w:val="18"/>
              </w:rPr>
              <w:t>30.84</w:t>
            </w:r>
          </w:p>
        </w:tc>
      </w:tr>
    </w:tbl>
    <w:p/>
    <w:p>
      <w:r>
        <w:t>Units t DM ha⁻¹, over the 6,956,407 cells of the NLUM mask.</w:t>
      </w:r>
    </w:p>
    <w:p>
      <w:pPr>
        <w:pStyle w:val="Heading1"/>
      </w:pPr>
      <w:r>
        <w:t>Effect on future M'</w:t>
      </w:r>
    </w:p>
    <w:p>
      <w:r>
        <w:t>The M' rasters were produced by the repository's own Step_08 with the modelled denominator passed in, not by a second implementation of Eq. (3). The measured shift against Option B is identical in every scenario and window, as it must be, since the denominator is a per-cell constant: ×0.9908 where only the source changed, ×0.9441 where the averaging order was corrected as well.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296"/>
          </w:tcPr>
          <w:p>
            <w:r>
              <w:rPr>
                <w:b/>
                <w:sz w:val="18"/>
              </w:rPr>
              <w:t>scenario</w:t>
            </w:r>
          </w:p>
        </w:tc>
        <w:tc>
          <w:tcPr>
            <w:tcW w:type="dxa" w:w="1440"/>
          </w:tcPr>
          <w:p>
            <w:r>
              <w:rPr>
                <w:b/>
                <w:sz w:val="18"/>
              </w:rPr>
              <w:t>window</w:t>
            </w:r>
          </w:p>
        </w:tc>
        <w:tc>
          <w:tcPr>
            <w:tcW w:type="dxa" w:w="2304"/>
          </w:tcPr>
          <w:p>
            <w:r>
              <w:rPr>
                <w:b/>
                <w:sz w:val="18"/>
              </w:rPr>
              <w:t>METHOD: Eq.(1) of mean FPI</w:t>
            </w:r>
          </w:p>
        </w:tc>
        <w:tc>
          <w:tcPr>
            <w:tcW w:type="dxa" w:w="1872"/>
          </w:tcPr>
          <w:p>
            <w:r>
              <w:rPr>
                <w:b/>
                <w:sz w:val="18"/>
              </w:rPr>
              <w:t>sensitivity: per-year</w:t>
            </w:r>
          </w:p>
        </w:tc>
        <w:tc>
          <w:tcPr>
            <w:tcW w:type="dxa" w:w="1872"/>
          </w:tcPr>
          <w:p>
            <w:r>
              <w:rPr>
                <w:b/>
                <w:sz w:val="18"/>
              </w:rPr>
              <w:t>Option B (published)</w:t>
            </w:r>
          </w:p>
        </w:tc>
      </w:tr>
      <w:tr>
        <w:tc>
          <w:tcPr>
            <w:tcW w:type="dxa" w:w="1296"/>
          </w:tcPr>
          <w:p>
            <w:r>
              <w:rPr>
                <w:sz w:val="18"/>
              </w:rPr>
              <w:t>SSP126</w:t>
            </w:r>
          </w:p>
        </w:tc>
        <w:tc>
          <w:tcPr>
            <w:tcW w:type="dxa" w:w="1440"/>
          </w:tcPr>
          <w:p>
            <w:r>
              <w:rPr>
                <w:sz w:val="18"/>
              </w:rPr>
              <w:t>2035-2064</w:t>
            </w:r>
          </w:p>
        </w:tc>
        <w:tc>
          <w:tcPr>
            <w:tcW w:type="dxa" w:w="2304"/>
          </w:tcPr>
          <w:p>
            <w:r>
              <w:rPr>
                <w:sz w:val="18"/>
              </w:rPr>
              <w:t>-2.6</w:t>
            </w:r>
          </w:p>
        </w:tc>
        <w:tc>
          <w:tcPr>
            <w:tcW w:type="dxa" w:w="1872"/>
          </w:tcPr>
          <w:p>
            <w:r>
              <w:rPr>
                <w:sz w:val="18"/>
              </w:rPr>
              <w:t>-3.2</w:t>
            </w:r>
          </w:p>
        </w:tc>
        <w:tc>
          <w:tcPr>
            <w:tcW w:type="dxa" w:w="1872"/>
          </w:tcPr>
          <w:p>
            <w:r>
              <w:rPr>
                <w:sz w:val="18"/>
              </w:rPr>
              <w:t>+1.1</w:t>
            </w:r>
          </w:p>
        </w:tc>
      </w:tr>
      <w:tr>
        <w:tc>
          <w:tcPr>
            <w:tcW w:type="dxa" w:w="1296"/>
          </w:tcPr>
          <w:p>
            <w:r>
              <w:rPr>
                <w:sz w:val="18"/>
              </w:rPr>
              <w:t>SSP245</w:t>
            </w:r>
          </w:p>
        </w:tc>
        <w:tc>
          <w:tcPr>
            <w:tcW w:type="dxa" w:w="1440"/>
          </w:tcPr>
          <w:p>
            <w:r>
              <w:rPr>
                <w:sz w:val="18"/>
              </w:rPr>
              <w:t>2035-2064</w:t>
            </w:r>
          </w:p>
        </w:tc>
        <w:tc>
          <w:tcPr>
            <w:tcW w:type="dxa" w:w="2304"/>
          </w:tcPr>
          <w:p>
            <w:r>
              <w:rPr>
                <w:sz w:val="18"/>
              </w:rPr>
              <w:t>-10.2</w:t>
            </w:r>
          </w:p>
        </w:tc>
        <w:tc>
          <w:tcPr>
            <w:tcW w:type="dxa" w:w="1872"/>
          </w:tcPr>
          <w:p>
            <w:r>
              <w:rPr>
                <w:sz w:val="18"/>
              </w:rPr>
              <w:t>-11.2</w:t>
            </w:r>
          </w:p>
        </w:tc>
        <w:tc>
          <w:tcPr>
            <w:tcW w:type="dxa" w:w="1872"/>
          </w:tcPr>
          <w:p>
            <w:r>
              <w:rPr>
                <w:sz w:val="18"/>
              </w:rPr>
              <w:t>-6.4</w:t>
            </w:r>
          </w:p>
        </w:tc>
      </w:tr>
      <w:tr>
        <w:tc>
          <w:tcPr>
            <w:tcW w:type="dxa" w:w="1296"/>
          </w:tcPr>
          <w:p>
            <w:r>
              <w:rPr>
                <w:sz w:val="18"/>
              </w:rPr>
              <w:t>SSP370</w:t>
            </w:r>
          </w:p>
        </w:tc>
        <w:tc>
          <w:tcPr>
            <w:tcW w:type="dxa" w:w="1440"/>
          </w:tcPr>
          <w:p>
            <w:r>
              <w:rPr>
                <w:sz w:val="18"/>
              </w:rPr>
              <w:t>2035-2064</w:t>
            </w:r>
          </w:p>
        </w:tc>
        <w:tc>
          <w:tcPr>
            <w:tcW w:type="dxa" w:w="2304"/>
          </w:tcPr>
          <w:p>
            <w:r>
              <w:rPr>
                <w:sz w:val="18"/>
              </w:rPr>
              <w:t>-4.3</w:t>
            </w:r>
          </w:p>
        </w:tc>
        <w:tc>
          <w:tcPr>
            <w:tcW w:type="dxa" w:w="1872"/>
          </w:tcPr>
          <w:p>
            <w:r>
              <w:rPr>
                <w:sz w:val="18"/>
              </w:rPr>
              <w:t>-5.1</w:t>
            </w:r>
          </w:p>
        </w:tc>
        <w:tc>
          <w:tcPr>
            <w:tcW w:type="dxa" w:w="1872"/>
          </w:tcPr>
          <w:p>
            <w:r>
              <w:rPr>
                <w:sz w:val="18"/>
              </w:rPr>
              <w:t>-0.7</w:t>
            </w:r>
          </w:p>
        </w:tc>
      </w:tr>
      <w:tr>
        <w:tc>
          <w:tcPr>
            <w:tcW w:type="dxa" w:w="1296"/>
          </w:tcPr>
          <w:p>
            <w:r>
              <w:rPr>
                <w:sz w:val="18"/>
              </w:rPr>
              <w:t>SSP585</w:t>
            </w:r>
          </w:p>
        </w:tc>
        <w:tc>
          <w:tcPr>
            <w:tcW w:type="dxa" w:w="1440"/>
          </w:tcPr>
          <w:p>
            <w:r>
              <w:rPr>
                <w:sz w:val="18"/>
              </w:rPr>
              <w:t>2035-2064</w:t>
            </w:r>
          </w:p>
        </w:tc>
        <w:tc>
          <w:tcPr>
            <w:tcW w:type="dxa" w:w="2304"/>
          </w:tcPr>
          <w:p>
            <w:r>
              <w:rPr>
                <w:sz w:val="18"/>
              </w:rPr>
              <w:t>-3.6</w:t>
            </w:r>
          </w:p>
        </w:tc>
        <w:tc>
          <w:tcPr>
            <w:tcW w:type="dxa" w:w="1872"/>
          </w:tcPr>
          <w:p>
            <w:r>
              <w:rPr>
                <w:sz w:val="18"/>
              </w:rPr>
              <w:t>-4.3</w:t>
            </w:r>
          </w:p>
        </w:tc>
        <w:tc>
          <w:tcPr>
            <w:tcW w:type="dxa" w:w="1872"/>
          </w:tcPr>
          <w:p>
            <w:r>
              <w:rPr>
                <w:sz w:val="18"/>
              </w:rPr>
              <w:t>+1.0</w:t>
            </w:r>
          </w:p>
        </w:tc>
      </w:tr>
      <w:tr>
        <w:tc>
          <w:tcPr>
            <w:tcW w:type="dxa" w:w="1296"/>
          </w:tcPr>
          <w:p>
            <w:r>
              <w:rPr>
                <w:sz w:val="18"/>
              </w:rPr>
              <w:t>SSP126</w:t>
            </w:r>
          </w:p>
        </w:tc>
        <w:tc>
          <w:tcPr>
            <w:tcW w:type="dxa" w:w="1440"/>
          </w:tcPr>
          <w:p>
            <w:r>
              <w:rPr>
                <w:sz w:val="18"/>
              </w:rPr>
              <w:t>2070-2099</w:t>
            </w:r>
          </w:p>
        </w:tc>
        <w:tc>
          <w:tcPr>
            <w:tcW w:type="dxa" w:w="2304"/>
          </w:tcPr>
          <w:p>
            <w:r>
              <w:rPr>
                <w:sz w:val="18"/>
              </w:rPr>
              <w:t>-12.3</w:t>
            </w:r>
          </w:p>
        </w:tc>
        <w:tc>
          <w:tcPr>
            <w:tcW w:type="dxa" w:w="1872"/>
          </w:tcPr>
          <w:p>
            <w:r>
              <w:rPr>
                <w:sz w:val="18"/>
              </w:rPr>
              <w:t>-13.1</w:t>
            </w:r>
          </w:p>
        </w:tc>
        <w:tc>
          <w:tcPr>
            <w:tcW w:type="dxa" w:w="1872"/>
          </w:tcPr>
          <w:p>
            <w:r>
              <w:rPr>
                <w:sz w:val="18"/>
              </w:rPr>
              <w:t>-8.9</w:t>
            </w:r>
          </w:p>
        </w:tc>
      </w:tr>
      <w:tr>
        <w:tc>
          <w:tcPr>
            <w:tcW w:type="dxa" w:w="1296"/>
          </w:tcPr>
          <w:p>
            <w:r>
              <w:rPr>
                <w:sz w:val="18"/>
              </w:rPr>
              <w:t>SSP245</w:t>
            </w:r>
          </w:p>
        </w:tc>
        <w:tc>
          <w:tcPr>
            <w:tcW w:type="dxa" w:w="1440"/>
          </w:tcPr>
          <w:p>
            <w:r>
              <w:rPr>
                <w:sz w:val="18"/>
              </w:rPr>
              <w:t>2070-2099</w:t>
            </w:r>
          </w:p>
        </w:tc>
        <w:tc>
          <w:tcPr>
            <w:tcW w:type="dxa" w:w="2304"/>
          </w:tcPr>
          <w:p>
            <w:r>
              <w:rPr>
                <w:sz w:val="18"/>
              </w:rPr>
              <w:t>-4.0</w:t>
            </w:r>
          </w:p>
        </w:tc>
        <w:tc>
          <w:tcPr>
            <w:tcW w:type="dxa" w:w="1872"/>
          </w:tcPr>
          <w:p>
            <w:r>
              <w:rPr>
                <w:sz w:val="18"/>
              </w:rPr>
              <w:t>-5.1</w:t>
            </w:r>
          </w:p>
        </w:tc>
        <w:tc>
          <w:tcPr>
            <w:tcW w:type="dxa" w:w="1872"/>
          </w:tcPr>
          <w:p>
            <w:r>
              <w:rPr>
                <w:sz w:val="18"/>
              </w:rPr>
              <w:t>-0.8</w:t>
            </w:r>
          </w:p>
        </w:tc>
      </w:tr>
      <w:tr>
        <w:tc>
          <w:tcPr>
            <w:tcW w:type="dxa" w:w="1296"/>
          </w:tcPr>
          <w:p>
            <w:r>
              <w:rPr>
                <w:sz w:val="18"/>
              </w:rPr>
              <w:t>SSP370</w:t>
            </w:r>
          </w:p>
        </w:tc>
        <w:tc>
          <w:tcPr>
            <w:tcW w:type="dxa" w:w="1440"/>
          </w:tcPr>
          <w:p>
            <w:r>
              <w:rPr>
                <w:sz w:val="18"/>
              </w:rPr>
              <w:t>2070-2099</w:t>
            </w:r>
          </w:p>
        </w:tc>
        <w:tc>
          <w:tcPr>
            <w:tcW w:type="dxa" w:w="2304"/>
          </w:tcPr>
          <w:p>
            <w:r>
              <w:rPr>
                <w:sz w:val="18"/>
              </w:rPr>
              <w:t>-20.1</w:t>
            </w:r>
          </w:p>
        </w:tc>
        <w:tc>
          <w:tcPr>
            <w:tcW w:type="dxa" w:w="1872"/>
          </w:tcPr>
          <w:p>
            <w:r>
              <w:rPr>
                <w:sz w:val="18"/>
              </w:rPr>
              <w:t>-21.9</w:t>
            </w:r>
          </w:p>
        </w:tc>
        <w:tc>
          <w:tcPr>
            <w:tcW w:type="dxa" w:w="1872"/>
          </w:tcPr>
          <w:p>
            <w:r>
              <w:rPr>
                <w:sz w:val="18"/>
              </w:rPr>
              <w:t>-17.4</w:t>
            </w:r>
          </w:p>
        </w:tc>
      </w:tr>
      <w:tr>
        <w:tc>
          <w:tcPr>
            <w:tcW w:type="dxa" w:w="1296"/>
          </w:tcPr>
          <w:p>
            <w:r>
              <w:rPr>
                <w:sz w:val="18"/>
              </w:rPr>
              <w:t>SSP585</w:t>
            </w:r>
          </w:p>
        </w:tc>
        <w:tc>
          <w:tcPr>
            <w:tcW w:type="dxa" w:w="1440"/>
          </w:tcPr>
          <w:p>
            <w:r>
              <w:rPr>
                <w:sz w:val="18"/>
              </w:rPr>
              <w:t>2070-2099</w:t>
            </w:r>
          </w:p>
        </w:tc>
        <w:tc>
          <w:tcPr>
            <w:tcW w:type="dxa" w:w="2304"/>
          </w:tcPr>
          <w:p>
            <w:r>
              <w:rPr>
                <w:sz w:val="18"/>
              </w:rPr>
              <w:t>-21.2</w:t>
            </w:r>
          </w:p>
        </w:tc>
        <w:tc>
          <w:tcPr>
            <w:tcW w:type="dxa" w:w="1872"/>
          </w:tcPr>
          <w:p>
            <w:r>
              <w:rPr>
                <w:sz w:val="18"/>
              </w:rPr>
              <w:t>-22.8</w:t>
            </w:r>
          </w:p>
        </w:tc>
        <w:tc>
          <w:tcPr>
            <w:tcW w:type="dxa" w:w="1872"/>
          </w:tcPr>
          <w:p>
            <w:r>
              <w:rPr>
                <w:sz w:val="18"/>
              </w:rPr>
              <w:t>-18.6</w:t>
            </w:r>
          </w:p>
        </w:tc>
      </w:tr>
    </w:tbl>
    <w:p/>
    <w:p>
      <w:r>
        <w:t>Median change in M' against Revised_M_Roxburgh, per cent — the step FullCAM sees from its historical maxAbgM to the future input. On the method every window is negative, from -2.6% to -21.2%; the per-year sensitivity gives -3.2% to -22.8%, slightly deeper throughout. Option B's column pairs a per-year numerator with a mean-FPI denominator, which is the mismatch described above, and two of its eight windows come out positive.</w:t>
      </w:r>
    </w:p>
    <w:p>
      <w:r>
        <w:t>Figure 4 compares Revised_M_Roxburgh — the revised maximum biomass layer of Roxburgh et al. (2019), which is the historical maxAbgM input FullCAM reads — against the future M' this work produces. Each bar is the median over the NLUM mask of 100 x (M' - Revised_M_Roxburgh) / Revised_M_Roxburgh for one scenario and one 30-year window, so a bar at -10 means the typical cell carries ten per cent less potential biomass than the layer FullCAM uses today. The two colours are two different historical denominators: blue divides by Eq. (1) of the FPI downloaded from DCCEEW, orange by Eq. (1) of the FPI the random forest models for the same 30 years. Orange is what this work uses, because then the historical and the future FPI come from one model and its bias cancels out of the ratio.</w:t>
      </w:r>
    </w:p>
    <w:p>
      <w:r>
        <w:t>Figure 4a is the method: the 30 annual FPI are averaged first and Eq. (1) is applied to that mean, on both sides. The two colours nearly coincide, which is the expected result — the denominator swap is worth less than a per cent — and it doubles as a check on the arithmetic. Figure 4b repeats it with Eq. (1) applied per year and the results averaged; the bars deepen by about one percentage point throughout, which is the Jensen gap of Figure 3c arriving in the answer.</w:t>
      </w:r>
    </w:p>
    <w:p>
      <w:pPr>
        <w:jc w:val="center"/>
      </w:pPr>
      <w:r>
        <w:drawing>
          <wp:inline xmlns:a="http://schemas.openxmlformats.org/drawingml/2006/main" xmlns:pic="http://schemas.openxmlformats.org/drawingml/2006/picture">
            <wp:extent cx="5852160" cy="3948204"/>
            <wp:docPr id="5" name="Picture 5"/>
            <wp:cNvGraphicFramePr>
              <a:graphicFrameLocks noChangeAspect="1"/>
            </wp:cNvGraphicFramePr>
            <a:graphic>
              <a:graphicData uri="http://schemas.openxmlformats.org/drawingml/2006/picture">
                <pic:pic>
                  <pic:nvPicPr>
                    <pic:cNvPr id="0" name="fig_04a_mprime_change_method.png"/>
                    <pic:cNvPicPr/>
                  </pic:nvPicPr>
                  <pic:blipFill>
                    <a:blip r:embed="rId12"/>
                    <a:stretch>
                      <a:fillRect/>
                    </a:stretch>
                  </pic:blipFill>
                  <pic:spPr>
                    <a:xfrm>
                      <a:off x="0" y="0"/>
                      <a:ext cx="5852160" cy="3948204"/>
                    </a:xfrm>
                    <a:prstGeom prst="rect"/>
                  </pic:spPr>
                </pic:pic>
              </a:graphicData>
            </a:graphic>
          </wp:inline>
        </w:drawing>
      </w:r>
    </w:p>
    <w:p>
      <w:pPr>
        <w:jc w:val="left"/>
      </w:pPr>
      <w:r>
        <w:rPr>
          <w:i/>
          <w:color w:val="52514E"/>
          <w:sz w:val="17"/>
        </w:rPr>
        <w:t>Figure 4a. The step FullCAM sees, on the method. Blue is the observed historical FPI (the DCCEEW download), orange the modelled historical FPI from the random forest — the layer this work uses, since both the historical and the future FPI come from the forest. The orders already matched on both sides here, so the bars barely move: the expected result, and a check on the arithmetic.</w:t>
      </w:r>
    </w:p>
    <w:p>
      <w:pPr>
        <w:jc w:val="center"/>
      </w:pPr>
      <w:r>
        <w:drawing>
          <wp:inline xmlns:a="http://schemas.openxmlformats.org/drawingml/2006/main" xmlns:pic="http://schemas.openxmlformats.org/drawingml/2006/picture">
            <wp:extent cx="5852160" cy="3948204"/>
            <wp:docPr id="6" name="Picture 6"/>
            <wp:cNvGraphicFramePr>
              <a:graphicFrameLocks noChangeAspect="1"/>
            </wp:cNvGraphicFramePr>
            <a:graphic>
              <a:graphicData uri="http://schemas.openxmlformats.org/drawingml/2006/picture">
                <pic:pic>
                  <pic:nvPicPr>
                    <pic:cNvPr id="0" name="fig_04b_mprime_change_sensitivity.png"/>
                    <pic:cNvPicPr/>
                  </pic:nvPicPr>
                  <pic:blipFill>
                    <a:blip r:embed="rId13"/>
                    <a:stretch>
                      <a:fillRect/>
                    </a:stretch>
                  </pic:blipFill>
                  <pic:spPr>
                    <a:xfrm>
                      <a:off x="0" y="0"/>
                      <a:ext cx="5852160" cy="3948204"/>
                    </a:xfrm>
                    <a:prstGeom prst="rect"/>
                  </pic:spPr>
                </pic:pic>
              </a:graphicData>
            </a:graphic>
          </wp:inline>
        </w:drawing>
      </w:r>
    </w:p>
    <w:p>
      <w:pPr>
        <w:jc w:val="left"/>
      </w:pPr>
      <w:r>
        <w:rPr>
          <w:i/>
          <w:color w:val="52514E"/>
          <w:sz w:val="17"/>
        </w:rPr>
        <w:t>Figure 4b. The same on the per-year sensitivity, where the two positive bars of the observed-denominator route turn negative.</w:t>
      </w:r>
    </w:p>
    <w:p>
      <w:r>
        <w:t>Figure 5 is the same quantity as Figure 4, cell by cell instead of summarised to a median: 100 x (M' - Revised_M_Roxburgh) / Revised_M_Roxburgh for each of the eight scenario-windows, on one diverging scale centred on zero, so blue is a loss of potential biomass against today's layer and red a gain. The rows are the two windows and the columns the four scenarios, which makes the two readings easy to separate: down a column is the passage of time under one scenario, across a row is the choice of scenario at one time. Losses dominate the forested east, the south-west and Tasmania. The red patches are arid interior cells where M' is only a few tonnes per hectare, so a large percentage is a small absolute change — which is why Figure 4 quotes medians and the comparison section also reports totals in Mt DM.</w:t>
      </w:r>
    </w:p>
    <w:p>
      <w:pPr>
        <w:jc w:val="center"/>
      </w:pPr>
      <w:r>
        <w:drawing>
          <wp:inline xmlns:a="http://schemas.openxmlformats.org/drawingml/2006/main" xmlns:pic="http://schemas.openxmlformats.org/drawingml/2006/picture">
            <wp:extent cx="5852160" cy="2780599"/>
            <wp:docPr id="7" name="Picture 7"/>
            <wp:cNvGraphicFramePr>
              <a:graphicFrameLocks noChangeAspect="1"/>
            </wp:cNvGraphicFramePr>
            <a:graphic>
              <a:graphicData uri="http://schemas.openxmlformats.org/drawingml/2006/picture">
                <pic:pic>
                  <pic:nvPicPr>
                    <pic:cNvPr id="0" name="fig_05_mprime_change_maps.png"/>
                    <pic:cNvPicPr/>
                  </pic:nvPicPr>
                  <pic:blipFill>
                    <a:blip r:embed="rId14"/>
                    <a:stretch>
                      <a:fillRect/>
                    </a:stretch>
                  </pic:blipFill>
                  <pic:spPr>
                    <a:xfrm>
                      <a:off x="0" y="0"/>
                      <a:ext cx="5852160" cy="2780599"/>
                    </a:xfrm>
                    <a:prstGeom prst="rect"/>
                  </pic:spPr>
                </pic:pic>
              </a:graphicData>
            </a:graphic>
          </wp:inline>
        </w:drawing>
      </w:r>
    </w:p>
    <w:p>
      <w:pPr>
        <w:jc w:val="left"/>
      </w:pPr>
      <w:r>
        <w:rPr>
          <w:i/>
          <w:color w:val="52514E"/>
          <w:sz w:val="17"/>
        </w:rPr>
        <w:t>Figure 5. Projected change in M' against Revised_M_Roxburgh, per cell, for each scenario and window.</w:t>
      </w:r>
    </w:p>
    <w:p>
      <w:pPr>
        <w:pStyle w:val="Heading1"/>
      </w:pPr>
      <w:r>
        <w:t>Checks</w:t>
      </w:r>
    </w:p>
    <w:p>
      <w:pPr>
        <w:pStyle w:val="ListBullet"/>
      </w:pPr>
      <w:r>
        <w:t>The rebuilt observed denominator reproduces the pipeline's cached Eq1_M_hist_1985-2014.tif to 3.1e-05 t DM ha⁻¹, so these layers sit on the same arithmetic as the existing pipeline.</w:t>
      </w:r>
    </w:p>
    <w:p>
      <w:pPr>
        <w:pStyle w:val="ListBullet"/>
      </w:pPr>
      <w:r>
        <w:t>The Jensen gap measured here on the observed layers, 1.0319, is exactly the figure recorded independently in Option_B_matched_footing/README.md.</w:t>
      </w:r>
    </w:p>
    <w:p>
      <w:pPr>
        <w:pStyle w:val="ListBullet"/>
      </w:pPr>
      <w:r>
        <w:t>The shift in M' equals the ratio of the denominators, cell for cell, in all eight scenario-windows — so nothing else moved.</w:t>
      </w:r>
    </w:p>
    <w:p>
      <w:pPr>
        <w:pStyle w:val="ListBullet"/>
      </w:pPr>
      <w:r>
        <w:t>Every written raster was verified on the NLUM grid: no non-finite value inside the mask, no data outside it, no negative M'.</w:t>
      </w:r>
    </w:p>
    <w:p>
      <w:r>
        <w:br w:type="page"/>
      </w:r>
    </w:p>
    <w:p>
      <w:pPr>
        <w:pStyle w:val="Heading1"/>
      </w:pPr>
      <w:r>
        <w:t>Future M' against Revised_M_Roxburgh</w:t>
      </w:r>
    </w:p>
    <w:p>
      <w:r>
        <w:t>Revised_M_Roxburgh is the layer FullCAM ships as its historical maxAbgM, so it is the reference the future inputs step away from. Its mean over the NLUM mask is 46.21 t DM ha⁻¹ and its area-weighted national total is 34,363 Mt DM.</w:t>
      </w:r>
    </w:p>
    <w:p>
      <w:r>
        <w:t>The comparison is anchored rather than independent, and it is worth being explicit about why. λ × Original_M_2004 IS Revised_M_Roxburgh, so averaging the 30 modelled historical years of M' must return the reference exactly. It does, to a median relative error of 2.8e-08 (max 1.9e-07) — float32 rounding. That is a strong check that the chain from FPI through Eq. (1) and Eq. (3) does what it claims, but it also means these figures measure the projected *change*, not whether the absolute level is right. For the level, see Validation_GEDI/.</w:t>
      </w:r>
    </w:p>
    <w:p>
      <w:pPr>
        <w:pStyle w:val="Heading2"/>
      </w:pPr>
      <w:r>
        <w:t>The statistics, and what each one is for</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Pr>
                <w:b/>
                <w:sz w:val="18"/>
              </w:rPr>
              <w:t>statistic</w:t>
            </w:r>
          </w:p>
        </w:tc>
        <w:tc>
          <w:tcPr>
            <w:tcW w:type="dxa" w:w="2880"/>
          </w:tcPr>
          <w:p>
            <w:r>
              <w:rPr>
                <w:b/>
                <w:sz w:val="18"/>
              </w:rPr>
              <w:t>definition</w:t>
            </w:r>
          </w:p>
        </w:tc>
        <w:tc>
          <w:tcPr>
            <w:tcW w:type="dxa" w:w="4608"/>
          </w:tcPr>
          <w:p>
            <w:r>
              <w:rPr>
                <w:b/>
                <w:sz w:val="18"/>
              </w:rPr>
              <w:t>what it answers</w:t>
            </w:r>
          </w:p>
        </w:tc>
      </w:tr>
      <w:tr>
        <w:tc>
          <w:tcPr>
            <w:tcW w:type="dxa" w:w="1584"/>
          </w:tcPr>
          <w:p>
            <w:r>
              <w:rPr>
                <w:sz w:val="18"/>
              </w:rPr>
              <w:t>bias</w:t>
            </w:r>
          </w:p>
        </w:tc>
        <w:tc>
          <w:tcPr>
            <w:tcW w:type="dxa" w:w="2880"/>
          </w:tcPr>
          <w:p>
            <w:r>
              <w:rPr>
                <w:sz w:val="18"/>
              </w:rPr>
              <w:t>mean(M' − Revised_M_Roxburgh), t DM ha⁻¹</w:t>
            </w:r>
          </w:p>
        </w:tc>
        <w:tc>
          <w:tcPr>
            <w:tcW w:type="dxa" w:w="4608"/>
          </w:tcPr>
          <w:p>
            <w:r>
              <w:rPr>
                <w:sz w:val="18"/>
              </w:rPr>
              <w:t>average level shift; sign tells the direction, and it can be near zero while individual cells move a lot</w:t>
            </w:r>
          </w:p>
        </w:tc>
      </w:tr>
      <w:tr>
        <w:tc>
          <w:tcPr>
            <w:tcW w:type="dxa" w:w="1584"/>
          </w:tcPr>
          <w:p>
            <w:r>
              <w:rPr>
                <w:sz w:val="18"/>
              </w:rPr>
              <w:t>RMSE</w:t>
            </w:r>
          </w:p>
        </w:tc>
        <w:tc>
          <w:tcPr>
            <w:tcW w:type="dxa" w:w="2880"/>
          </w:tcPr>
          <w:p>
            <w:r>
              <w:rPr>
                <w:sz w:val="18"/>
              </w:rPr>
              <w:t>√mean((M' − Revised_M_Roxburgh)²), t DM ha⁻¹</w:t>
            </w:r>
          </w:p>
        </w:tc>
        <w:tc>
          <w:tcPr>
            <w:tcW w:type="dxa" w:w="4608"/>
          </w:tcPr>
          <w:p>
            <w:r>
              <w:rPr>
                <w:sz w:val="18"/>
              </w:rPr>
              <w:t>typical size of a cell's change, squaring so that large movers dominate; always ≥ MAE</w:t>
            </w:r>
          </w:p>
        </w:tc>
      </w:tr>
      <w:tr>
        <w:tc>
          <w:tcPr>
            <w:tcW w:type="dxa" w:w="1584"/>
          </w:tcPr>
          <w:p>
            <w:r>
              <w:rPr>
                <w:sz w:val="18"/>
              </w:rPr>
              <w:t>MAE</w:t>
            </w:r>
          </w:p>
        </w:tc>
        <w:tc>
          <w:tcPr>
            <w:tcW w:type="dxa" w:w="2880"/>
          </w:tcPr>
          <w:p>
            <w:r>
              <w:rPr>
                <w:sz w:val="18"/>
              </w:rPr>
              <w:t>mean|M' − Revised_M_Roxburgh|, t DM ha⁻¹</w:t>
            </w:r>
          </w:p>
        </w:tc>
        <w:tc>
          <w:tcPr>
            <w:tcW w:type="dxa" w:w="4608"/>
          </w:tcPr>
          <w:p>
            <w:r>
              <w:rPr>
                <w:sz w:val="18"/>
              </w:rPr>
              <w:t>typical size of a change without that weighting; the gap to RMSE says how skewed the changes are</w:t>
            </w:r>
          </w:p>
        </w:tc>
      </w:tr>
      <w:tr>
        <w:tc>
          <w:tcPr>
            <w:tcW w:type="dxa" w:w="1584"/>
          </w:tcPr>
          <w:p>
            <w:r>
              <w:rPr>
                <w:sz w:val="18"/>
              </w:rPr>
              <w:t>Pearson r</w:t>
            </w:r>
          </w:p>
        </w:tc>
        <w:tc>
          <w:tcPr>
            <w:tcW w:type="dxa" w:w="2880"/>
          </w:tcPr>
          <w:p>
            <w:r>
              <w:rPr>
                <w:sz w:val="18"/>
              </w:rPr>
              <w:t>correlation across cells</w:t>
            </w:r>
          </w:p>
        </w:tc>
        <w:tc>
          <w:tcPr>
            <w:tcW w:type="dxa" w:w="4608"/>
          </w:tcPr>
          <w:p>
            <w:r>
              <w:rPr>
                <w:sz w:val="18"/>
              </w:rPr>
              <w:t>whether the spatial pattern is preserved. It cannot detect a level shift, so it is read with bias, never alone</w:t>
            </w:r>
          </w:p>
        </w:tc>
      </w:tr>
      <w:tr>
        <w:tc>
          <w:tcPr>
            <w:tcW w:type="dxa" w:w="1584"/>
          </w:tcPr>
          <w:p>
            <w:r>
              <w:rPr>
                <w:sz w:val="18"/>
              </w:rPr>
              <w:t>OLS slope</w:t>
            </w:r>
          </w:p>
        </w:tc>
        <w:tc>
          <w:tcPr>
            <w:tcW w:type="dxa" w:w="2880"/>
          </w:tcPr>
          <w:p>
            <w:r>
              <w:rPr>
                <w:sz w:val="18"/>
              </w:rPr>
              <w:t>regression of M' on Revised_M_Roxburgh</w:t>
            </w:r>
          </w:p>
        </w:tc>
        <w:tc>
          <w:tcPr>
            <w:tcW w:type="dxa" w:w="4608"/>
          </w:tcPr>
          <w:p>
            <w:r>
              <w:rPr>
                <w:sz w:val="18"/>
              </w:rPr>
              <w:t>whether the change is proportional. &gt;1 means high-biomass cells change less in relative terms than low-biomass ones</w:t>
            </w:r>
          </w:p>
        </w:tc>
      </w:tr>
      <w:tr>
        <w:tc>
          <w:tcPr>
            <w:tcW w:type="dxa" w:w="1584"/>
          </w:tcPr>
          <w:p>
            <w:r>
              <w:rPr>
                <w:sz w:val="18"/>
              </w:rPr>
              <w:t>median % change</w:t>
            </w:r>
          </w:p>
        </w:tc>
        <w:tc>
          <w:tcPr>
            <w:tcW w:type="dxa" w:w="2880"/>
          </w:tcPr>
          <w:p>
            <w:r>
              <w:rPr>
                <w:sz w:val="18"/>
              </w:rPr>
              <w:t>median over cells of 100(M'−ref)/ref</w:t>
            </w:r>
          </w:p>
        </w:tc>
        <w:tc>
          <w:tcPr>
            <w:tcW w:type="dxa" w:w="4608"/>
          </w:tcPr>
          <w:p>
            <w:r>
              <w:rPr>
                <w:sz w:val="18"/>
              </w:rPr>
              <w:t>the typical cell's fate, robust to the long right tail of M'</w:t>
            </w:r>
          </w:p>
        </w:tc>
      </w:tr>
      <w:tr>
        <w:tc>
          <w:tcPr>
            <w:tcW w:type="dxa" w:w="1584"/>
          </w:tcPr>
          <w:p>
            <w:r>
              <w:rPr>
                <w:sz w:val="18"/>
              </w:rPr>
              <w:t>% cells declining</w:t>
            </w:r>
          </w:p>
        </w:tc>
        <w:tc>
          <w:tcPr>
            <w:tcW w:type="dxa" w:w="2880"/>
          </w:tcPr>
          <w:p>
            <w:r>
              <w:rPr>
                <w:sz w:val="18"/>
              </w:rPr>
              <w:t>share with M' &lt; Revised_M_Roxburgh</w:t>
            </w:r>
          </w:p>
        </w:tc>
        <w:tc>
          <w:tcPr>
            <w:tcW w:type="dxa" w:w="4608"/>
          </w:tcPr>
          <w:p>
            <w:r>
              <w:rPr>
                <w:sz w:val="18"/>
              </w:rPr>
              <w:t>how widespread the change is, independently of its size</w:t>
            </w:r>
          </w:p>
        </w:tc>
      </w:tr>
      <w:tr>
        <w:tc>
          <w:tcPr>
            <w:tcW w:type="dxa" w:w="1584"/>
          </w:tcPr>
          <w:p>
            <w:r>
              <w:rPr>
                <w:sz w:val="18"/>
              </w:rPr>
              <w:t>spatial CV</w:t>
            </w:r>
          </w:p>
        </w:tc>
        <w:tc>
          <w:tcPr>
            <w:tcW w:type="dxa" w:w="2880"/>
          </w:tcPr>
          <w:p>
            <w:r>
              <w:rPr>
                <w:sz w:val="18"/>
              </w:rPr>
              <w:t>sd over cells ÷ mean over cells</w:t>
            </w:r>
          </w:p>
        </w:tc>
        <w:tc>
          <w:tcPr>
            <w:tcW w:type="dxa" w:w="4608"/>
          </w:tcPr>
          <w:p>
            <w:r>
              <w:rPr>
                <w:sz w:val="18"/>
              </w:rPr>
              <w:t>how uneven the map is as a whole; rises when the change is concentrated rather than uniform</w:t>
            </w:r>
          </w:p>
        </w:tc>
      </w:tr>
      <w:tr>
        <w:tc>
          <w:tcPr>
            <w:tcW w:type="dxa" w:w="1584"/>
          </w:tcPr>
          <w:p>
            <w:r>
              <w:rPr>
                <w:sz w:val="18"/>
              </w:rPr>
              <w:t>interannual CV</w:t>
            </w:r>
          </w:p>
        </w:tc>
        <w:tc>
          <w:tcPr>
            <w:tcW w:type="dxa" w:w="2880"/>
          </w:tcPr>
          <w:p>
            <w:r>
              <w:rPr>
                <w:sz w:val="18"/>
              </w:rPr>
              <w:t>sd over the 30 years ÷ their mean, per cell</w:t>
            </w:r>
          </w:p>
        </w:tc>
        <w:tc>
          <w:tcPr>
            <w:tcW w:type="dxa" w:w="4608"/>
          </w:tcPr>
          <w:p>
            <w:r>
              <w:rPr>
                <w:sz w:val="18"/>
              </w:rPr>
              <w:t>year-to-year variability within one scenario</w:t>
            </w:r>
          </w:p>
        </w:tc>
      </w:tr>
      <w:tr>
        <w:tc>
          <w:tcPr>
            <w:tcW w:type="dxa" w:w="1584"/>
          </w:tcPr>
          <w:p>
            <w:r>
              <w:rPr>
                <w:sz w:val="18"/>
              </w:rPr>
              <w:t>across-scenario CV</w:t>
            </w:r>
          </w:p>
        </w:tc>
        <w:tc>
          <w:tcPr>
            <w:tcW w:type="dxa" w:w="2880"/>
          </w:tcPr>
          <w:p>
            <w:r>
              <w:rPr>
                <w:sz w:val="18"/>
              </w:rPr>
              <w:t>sd over the 4 SSPs ÷ their mean, per cell</w:t>
            </w:r>
          </w:p>
        </w:tc>
        <w:tc>
          <w:tcPr>
            <w:tcW w:type="dxa" w:w="4608"/>
          </w:tcPr>
          <w:p>
            <w:r>
              <w:rPr>
                <w:sz w:val="18"/>
              </w:rPr>
              <w:t>how much the scenario choice matters</w:t>
            </w:r>
          </w:p>
        </w:tc>
      </w:tr>
      <w:tr>
        <w:tc>
          <w:tcPr>
            <w:tcW w:type="dxa" w:w="1584"/>
          </w:tcPr>
          <w:p>
            <w:r>
              <w:rPr>
                <w:sz w:val="18"/>
              </w:rPr>
              <w:t>national total</w:t>
            </w:r>
          </w:p>
        </w:tc>
        <w:tc>
          <w:tcPr>
            <w:tcW w:type="dxa" w:w="2880"/>
          </w:tcPr>
          <w:p>
            <w:r>
              <w:rPr>
                <w:sz w:val="18"/>
              </w:rPr>
              <w:t>Σ (M' × cell area), Mt DM</w:t>
            </w:r>
          </w:p>
        </w:tc>
        <w:tc>
          <w:tcPr>
            <w:tcW w:type="dxa" w:w="4608"/>
          </w:tcPr>
          <w:p>
            <w:r>
              <w:rPr>
                <w:sz w:val="18"/>
              </w:rPr>
              <w:t>the aggregate that a carbon account cares about; area-weighted, since 0.01° cells shrink with latitude by cos(lat)</w:t>
            </w:r>
          </w:p>
        </w:tc>
      </w:tr>
    </w:tbl>
    <w:p/>
    <w:p>
      <w:pPr>
        <w:pStyle w:val="Heading2"/>
      </w:pPr>
      <w:r>
        <w:t>Interannual variability (CV within a window)</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sz w:val="18"/>
              </w:rPr>
              <w:t>window</w:t>
            </w:r>
          </w:p>
        </w:tc>
        <w:tc>
          <w:tcPr>
            <w:tcW w:type="dxa" w:w="2016"/>
          </w:tcPr>
          <w:p>
            <w:r>
              <w:rPr>
                <w:b/>
                <w:sz w:val="18"/>
              </w:rPr>
              <w:t>median CV (%)</w:t>
            </w:r>
          </w:p>
        </w:tc>
        <w:tc>
          <w:tcPr>
            <w:tcW w:type="dxa" w:w="2304"/>
          </w:tcPr>
          <w:p>
            <w:r>
              <w:rPr>
                <w:b/>
                <w:sz w:val="18"/>
              </w:rPr>
              <w:t>vs historical (pp)</w:t>
            </w:r>
          </w:p>
        </w:tc>
      </w:tr>
      <w:tr>
        <w:tc>
          <w:tcPr>
            <w:tcW w:type="dxa" w:w="3168"/>
          </w:tcPr>
          <w:p>
            <w:r>
              <w:rPr>
                <w:sz w:val="18"/>
              </w:rPr>
              <w:t>historical 1985-2014</w:t>
            </w:r>
          </w:p>
        </w:tc>
        <w:tc>
          <w:tcPr>
            <w:tcW w:type="dxa" w:w="2016"/>
          </w:tcPr>
          <w:p>
            <w:r>
              <w:rPr>
                <w:sz w:val="18"/>
              </w:rPr>
              <w:t>48.3</w:t>
            </w:r>
          </w:p>
        </w:tc>
        <w:tc>
          <w:tcPr>
            <w:tcW w:type="dxa" w:w="2304"/>
          </w:tcPr>
          <w:p>
            <w:r>
              <w:rPr>
                <w:sz w:val="18"/>
              </w:rPr>
              <w:t>—</w:t>
            </w:r>
          </w:p>
        </w:tc>
      </w:tr>
      <w:tr>
        <w:tc>
          <w:tcPr>
            <w:tcW w:type="dxa" w:w="3168"/>
          </w:tcPr>
          <w:p>
            <w:r>
              <w:rPr>
                <w:sz w:val="18"/>
              </w:rPr>
              <w:t>SSP126 2035-2064</w:t>
            </w:r>
          </w:p>
        </w:tc>
        <w:tc>
          <w:tcPr>
            <w:tcW w:type="dxa" w:w="2016"/>
          </w:tcPr>
          <w:p>
            <w:r>
              <w:rPr>
                <w:sz w:val="18"/>
              </w:rPr>
              <w:t>46.2</w:t>
            </w:r>
          </w:p>
        </w:tc>
        <w:tc>
          <w:tcPr>
            <w:tcW w:type="dxa" w:w="2304"/>
          </w:tcPr>
          <w:p>
            <w:r>
              <w:rPr>
                <w:sz w:val="18"/>
              </w:rPr>
              <w:t>-2.1</w:t>
            </w:r>
          </w:p>
        </w:tc>
      </w:tr>
      <w:tr>
        <w:tc>
          <w:tcPr>
            <w:tcW w:type="dxa" w:w="3168"/>
          </w:tcPr>
          <w:p>
            <w:r>
              <w:rPr>
                <w:sz w:val="18"/>
              </w:rPr>
              <w:t>SSP245 2035-2064</w:t>
            </w:r>
          </w:p>
        </w:tc>
        <w:tc>
          <w:tcPr>
            <w:tcW w:type="dxa" w:w="2016"/>
          </w:tcPr>
          <w:p>
            <w:r>
              <w:rPr>
                <w:sz w:val="18"/>
              </w:rPr>
              <w:t>46.5</w:t>
            </w:r>
          </w:p>
        </w:tc>
        <w:tc>
          <w:tcPr>
            <w:tcW w:type="dxa" w:w="2304"/>
          </w:tcPr>
          <w:p>
            <w:r>
              <w:rPr>
                <w:sz w:val="18"/>
              </w:rPr>
              <w:t>-1.9</w:t>
            </w:r>
          </w:p>
        </w:tc>
      </w:tr>
      <w:tr>
        <w:tc>
          <w:tcPr>
            <w:tcW w:type="dxa" w:w="3168"/>
          </w:tcPr>
          <w:p>
            <w:r>
              <w:rPr>
                <w:sz w:val="18"/>
              </w:rPr>
              <w:t>SSP370 2035-2064</w:t>
            </w:r>
          </w:p>
        </w:tc>
        <w:tc>
          <w:tcPr>
            <w:tcW w:type="dxa" w:w="2016"/>
          </w:tcPr>
          <w:p>
            <w:r>
              <w:rPr>
                <w:sz w:val="18"/>
              </w:rPr>
              <w:t>45.5</w:t>
            </w:r>
          </w:p>
        </w:tc>
        <w:tc>
          <w:tcPr>
            <w:tcW w:type="dxa" w:w="2304"/>
          </w:tcPr>
          <w:p>
            <w:r>
              <w:rPr>
                <w:sz w:val="18"/>
              </w:rPr>
              <w:t>-2.8</w:t>
            </w:r>
          </w:p>
        </w:tc>
      </w:tr>
      <w:tr>
        <w:tc>
          <w:tcPr>
            <w:tcW w:type="dxa" w:w="3168"/>
          </w:tcPr>
          <w:p>
            <w:r>
              <w:rPr>
                <w:sz w:val="18"/>
              </w:rPr>
              <w:t>SSP585 2035-2064</w:t>
            </w:r>
          </w:p>
        </w:tc>
        <w:tc>
          <w:tcPr>
            <w:tcW w:type="dxa" w:w="2016"/>
          </w:tcPr>
          <w:p>
            <w:r>
              <w:rPr>
                <w:sz w:val="18"/>
              </w:rPr>
              <w:t>44.2</w:t>
            </w:r>
          </w:p>
        </w:tc>
        <w:tc>
          <w:tcPr>
            <w:tcW w:type="dxa" w:w="2304"/>
          </w:tcPr>
          <w:p>
            <w:r>
              <w:rPr>
                <w:sz w:val="18"/>
              </w:rPr>
              <w:t>-4.1</w:t>
            </w:r>
          </w:p>
        </w:tc>
      </w:tr>
      <w:tr>
        <w:tc>
          <w:tcPr>
            <w:tcW w:type="dxa" w:w="3168"/>
          </w:tcPr>
          <w:p>
            <w:r>
              <w:rPr>
                <w:sz w:val="18"/>
              </w:rPr>
              <w:t>SSP126 2070-2099</w:t>
            </w:r>
          </w:p>
        </w:tc>
        <w:tc>
          <w:tcPr>
            <w:tcW w:type="dxa" w:w="2016"/>
          </w:tcPr>
          <w:p>
            <w:r>
              <w:rPr>
                <w:sz w:val="18"/>
              </w:rPr>
              <w:t>47.5</w:t>
            </w:r>
          </w:p>
        </w:tc>
        <w:tc>
          <w:tcPr>
            <w:tcW w:type="dxa" w:w="2304"/>
          </w:tcPr>
          <w:p>
            <w:r>
              <w:rPr>
                <w:sz w:val="18"/>
              </w:rPr>
              <w:t>-0.8</w:t>
            </w:r>
          </w:p>
        </w:tc>
      </w:tr>
      <w:tr>
        <w:tc>
          <w:tcPr>
            <w:tcW w:type="dxa" w:w="3168"/>
          </w:tcPr>
          <w:p>
            <w:r>
              <w:rPr>
                <w:sz w:val="18"/>
              </w:rPr>
              <w:t>SSP245 2070-2099</w:t>
            </w:r>
          </w:p>
        </w:tc>
        <w:tc>
          <w:tcPr>
            <w:tcW w:type="dxa" w:w="2016"/>
          </w:tcPr>
          <w:p>
            <w:r>
              <w:rPr>
                <w:sz w:val="18"/>
              </w:rPr>
              <w:t>43.4</w:t>
            </w:r>
          </w:p>
        </w:tc>
        <w:tc>
          <w:tcPr>
            <w:tcW w:type="dxa" w:w="2304"/>
          </w:tcPr>
          <w:p>
            <w:r>
              <w:rPr>
                <w:sz w:val="18"/>
              </w:rPr>
              <w:t>-5.0</w:t>
            </w:r>
          </w:p>
        </w:tc>
      </w:tr>
      <w:tr>
        <w:tc>
          <w:tcPr>
            <w:tcW w:type="dxa" w:w="3168"/>
          </w:tcPr>
          <w:p>
            <w:r>
              <w:rPr>
                <w:sz w:val="18"/>
              </w:rPr>
              <w:t>SSP370 2070-2099</w:t>
            </w:r>
          </w:p>
        </w:tc>
        <w:tc>
          <w:tcPr>
            <w:tcW w:type="dxa" w:w="2016"/>
          </w:tcPr>
          <w:p>
            <w:r>
              <w:rPr>
                <w:sz w:val="18"/>
              </w:rPr>
              <w:t>44.5</w:t>
            </w:r>
          </w:p>
        </w:tc>
        <w:tc>
          <w:tcPr>
            <w:tcW w:type="dxa" w:w="2304"/>
          </w:tcPr>
          <w:p>
            <w:r>
              <w:rPr>
                <w:sz w:val="18"/>
              </w:rPr>
              <w:t>-3.8</w:t>
            </w:r>
          </w:p>
        </w:tc>
      </w:tr>
      <w:tr>
        <w:tc>
          <w:tcPr>
            <w:tcW w:type="dxa" w:w="3168"/>
          </w:tcPr>
          <w:p>
            <w:r>
              <w:rPr>
                <w:sz w:val="18"/>
              </w:rPr>
              <w:t>SSP585 2070-2099</w:t>
            </w:r>
          </w:p>
        </w:tc>
        <w:tc>
          <w:tcPr>
            <w:tcW w:type="dxa" w:w="2016"/>
          </w:tcPr>
          <w:p>
            <w:r>
              <w:rPr>
                <w:sz w:val="18"/>
              </w:rPr>
              <w:t>44.9</w:t>
            </w:r>
          </w:p>
        </w:tc>
        <w:tc>
          <w:tcPr>
            <w:tcW w:type="dxa" w:w="2304"/>
          </w:tcPr>
          <w:p>
            <w:r>
              <w:rPr>
                <w:sz w:val="18"/>
              </w:rPr>
              <w:t>-3.4</w:t>
            </w:r>
          </w:p>
        </w:tc>
      </w:tr>
    </w:tbl>
    <w:p/>
    <w:p>
      <w:r>
        <w:t>Two things follow. First, the level is high: a median near 48% means a cell's M' swings by about half its own mean from one year to the next. That is expected rather than alarming — Eq. (1) is quadratic in √FPI, so it amplifies a dry year — but it does mean no single future year should be quoted as the value for a site. Use the window mean, which is what the FullCAM inputs are built from.</w:t>
      </w:r>
    </w:p>
    <w:p>
      <w:r>
        <w:t>Second, the future CV is lower than the historical one in every scenario-window. Two ways of saying it, because they are different quantities: the difference of the medians is 0.8 to 5.0 percentage points (table above), while the median of the per-cell difference is 1.4 to 4.7 (Figure 7). Either way the sign is the same everywhere. Projected M' does not become more erratic. Read that with the method in mind: the QDC change factors are applied to observed BARRA-R2 years, so the interannual sequence in the projections is observed weather rescaled, not model weather. The method can shift and stretch that variability but cannot invent new variability, so this result is evidence about the change factors, not an independent finding about future climate variability.</w:t>
      </w:r>
    </w:p>
    <w:p>
      <w:r>
        <w:t>How Figures 6 and 7 are computed. For one scenario-window, the 30 annual M' rasters are read and, at every cell, the standard deviation across those 30 values is divided by their mean and expressed as a percentage. The historical panel is the same calculation on the 30 modelled historical years. Figure 6 maps those nine layers on one colour scale, set by the typical spread rather than the largest tail so that no single panel washes the others out; the median of each panel is printed under its title. Figure 7 subtracts the historical layer from each future one, so its unit is percentage points and its scale is diverging about zero: blue means less year-to-year variability than the historical period, red more.</w:t>
      </w:r>
    </w:p>
    <w:p>
      <w:r>
        <w:t>How to read them. The level is what to notice first in Figure 6 — around 45-48% everywhere — and the direction in Figure 7, which is negative in all eight panels. White cells in Figure 6 are where the 30-year mean falls below 1 t DM ha⁻¹ and a ratio stops being meaningful, not missing data.</w:t>
      </w:r>
    </w:p>
    <w:p>
      <w:pPr>
        <w:jc w:val="center"/>
      </w:pPr>
      <w:r>
        <w:drawing>
          <wp:inline xmlns:a="http://schemas.openxmlformats.org/drawingml/2006/main" xmlns:pic="http://schemas.openxmlformats.org/drawingml/2006/picture">
            <wp:extent cx="5852160" cy="4477028"/>
            <wp:docPr id="8" name="Picture 8"/>
            <wp:cNvGraphicFramePr>
              <a:graphicFrameLocks noChangeAspect="1"/>
            </wp:cNvGraphicFramePr>
            <a:graphic>
              <a:graphicData uri="http://schemas.openxmlformats.org/drawingml/2006/picture">
                <pic:pic>
                  <pic:nvPicPr>
                    <pic:cNvPr id="0" name="fig_06_cv_interannual.png"/>
                    <pic:cNvPicPr/>
                  </pic:nvPicPr>
                  <pic:blipFill>
                    <a:blip r:embed="rId15"/>
                    <a:stretch>
                      <a:fillRect/>
                    </a:stretch>
                  </pic:blipFill>
                  <pic:spPr>
                    <a:xfrm>
                      <a:off x="0" y="0"/>
                      <a:ext cx="5852160" cy="4477028"/>
                    </a:xfrm>
                    <a:prstGeom prst="rect"/>
                  </pic:spPr>
                </pic:pic>
              </a:graphicData>
            </a:graphic>
          </wp:inline>
        </w:drawing>
      </w:r>
    </w:p>
    <w:p>
      <w:pPr>
        <w:jc w:val="left"/>
      </w:pPr>
      <w:r>
        <w:rPr>
          <w:i/>
          <w:color w:val="52514E"/>
          <w:sz w:val="17"/>
        </w:rPr>
        <w:t>Figure 6. Interannual CV of M' in each scenario-window and in the modelled historical period. One colour scale throughout, set by the typical spread rather than the longest tail. The arid interior is most variable in relative terms because its mean is small; white cells are where the mean falls below 1 t DM ha⁻¹ and a ratio stops being meaningful.</w:t>
      </w:r>
    </w:p>
    <w:p>
      <w:pPr>
        <w:jc w:val="center"/>
      </w:pPr>
      <w:r>
        <w:drawing>
          <wp:inline xmlns:a="http://schemas.openxmlformats.org/drawingml/2006/main" xmlns:pic="http://schemas.openxmlformats.org/drawingml/2006/picture">
            <wp:extent cx="5852160" cy="2798979"/>
            <wp:docPr id="9" name="Picture 9"/>
            <wp:cNvGraphicFramePr>
              <a:graphicFrameLocks noChangeAspect="1"/>
            </wp:cNvGraphicFramePr>
            <a:graphic>
              <a:graphicData uri="http://schemas.openxmlformats.org/drawingml/2006/picture">
                <pic:pic>
                  <pic:nvPicPr>
                    <pic:cNvPr id="0" name="fig_07_cv_change.png"/>
                    <pic:cNvPicPr/>
                  </pic:nvPicPr>
                  <pic:blipFill>
                    <a:blip r:embed="rId16"/>
                    <a:stretch>
                      <a:fillRect/>
                    </a:stretch>
                  </pic:blipFill>
                  <pic:spPr>
                    <a:xfrm>
                      <a:off x="0" y="0"/>
                      <a:ext cx="5852160" cy="2798979"/>
                    </a:xfrm>
                    <a:prstGeom prst="rect"/>
                  </pic:spPr>
                </pic:pic>
              </a:graphicData>
            </a:graphic>
          </wp:inline>
        </w:drawing>
      </w:r>
    </w:p>
    <w:p>
      <w:pPr>
        <w:jc w:val="left"/>
      </w:pPr>
      <w:r>
        <w:rPr>
          <w:i/>
          <w:color w:val="52514E"/>
          <w:sz w:val="17"/>
        </w:rPr>
        <w:t>Figure 7. Future CV minus historical CV, in percentage points. Blue is less year-to-year variability than the historical period, red is more. The median is negative in all eight panels; the red patches are mostly in the north-west and the southern rangelands.</w:t>
      </w:r>
    </w:p>
    <w:p>
      <w:pPr>
        <w:pStyle w:val="Heading2"/>
      </w:pPr>
      <w:r>
        <w:t>Scenario spread, and which uncertainty dominates</w:t>
      </w:r>
    </w:p>
    <w:p>
      <w:r>
        <w:t>The four SSPs disagree with one another by a median CV of 5.9% in 2035-2064 and 12.4% in 2070-2099, against roughly 45% of year-to-year variability within any one of them. The scenarios separate late, as they should, but even then the choice of year inside a window is three to four times larger a source of spread than the choice of scenario. Anyone reading a single cell of a single future year is reading mostly weather.</w:t>
      </w:r>
    </w:p>
    <w:p>
      <w:r>
        <w:t>Figure 8 changes what varies. At each cell the four SSP window-mean M' values are taken, and their standard deviation is divided by their mean — so this is the spread the choice of scenario produces, holding the year fixed, while Figure 6 was the spread the year produces, holding the scenario fixed. Panel (c) places the medians of both side by side, which is the only fair way to compare them.</w:t>
      </w:r>
    </w:p>
    <w:p>
      <w:pPr>
        <w:jc w:val="center"/>
      </w:pPr>
      <w:r>
        <w:drawing>
          <wp:inline xmlns:a="http://schemas.openxmlformats.org/drawingml/2006/main" xmlns:pic="http://schemas.openxmlformats.org/drawingml/2006/picture">
            <wp:extent cx="5852160" cy="2722137"/>
            <wp:docPr id="10" name="Picture 10"/>
            <wp:cNvGraphicFramePr>
              <a:graphicFrameLocks noChangeAspect="1"/>
            </wp:cNvGraphicFramePr>
            <a:graphic>
              <a:graphicData uri="http://schemas.openxmlformats.org/drawingml/2006/picture">
                <pic:pic>
                  <pic:nvPicPr>
                    <pic:cNvPr id="0" name="fig_08_cv_across_scenarios.png"/>
                    <pic:cNvPicPr/>
                  </pic:nvPicPr>
                  <pic:blipFill>
                    <a:blip r:embed="rId17"/>
                    <a:stretch>
                      <a:fillRect/>
                    </a:stretch>
                  </pic:blipFill>
                  <pic:spPr>
                    <a:xfrm>
                      <a:off x="0" y="0"/>
                      <a:ext cx="5852160" cy="2722137"/>
                    </a:xfrm>
                    <a:prstGeom prst="rect"/>
                  </pic:spPr>
                </pic:pic>
              </a:graphicData>
            </a:graphic>
          </wp:inline>
        </w:drawing>
      </w:r>
    </w:p>
    <w:p>
      <w:pPr>
        <w:jc w:val="left"/>
      </w:pPr>
      <w:r>
        <w:rPr>
          <w:i/>
          <w:color w:val="52514E"/>
          <w:sz w:val="17"/>
        </w:rPr>
        <w:t>Figure 8. Across-scenario CV per window (left, centre) and the two kinds of variability side by side (right).</w:t>
      </w:r>
    </w:p>
    <w:p>
      <w:pPr>
        <w:pStyle w:val="Heading2"/>
      </w:pPr>
      <w:r>
        <w:t>Cell by cell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152"/>
          </w:tcPr>
          <w:p>
            <w:r>
              <w:rPr>
                <w:b/>
                <w:sz w:val="18"/>
              </w:rPr>
              <w:t>scenario</w:t>
            </w:r>
          </w:p>
        </w:tc>
        <w:tc>
          <w:tcPr>
            <w:tcW w:type="dxa" w:w="1440"/>
          </w:tcPr>
          <w:p>
            <w:r>
              <w:rPr>
                <w:b/>
                <w:sz w:val="18"/>
              </w:rPr>
              <w:t>window</w:t>
            </w:r>
          </w:p>
        </w:tc>
        <w:tc>
          <w:tcPr>
            <w:tcW w:type="dxa" w:w="1008"/>
          </w:tcPr>
          <w:p>
            <w:r>
              <w:rPr>
                <w:b/>
                <w:sz w:val="18"/>
              </w:rPr>
              <w:t>r</w:t>
            </w:r>
          </w:p>
        </w:tc>
        <w:tc>
          <w:tcPr>
            <w:tcW w:type="dxa" w:w="1008"/>
          </w:tcPr>
          <w:p>
            <w:r>
              <w:rPr>
                <w:b/>
                <w:sz w:val="18"/>
              </w:rPr>
              <w:t>slope</w:t>
            </w:r>
          </w:p>
        </w:tc>
        <w:tc>
          <w:tcPr>
            <w:tcW w:type="dxa" w:w="1008"/>
          </w:tcPr>
          <w:p>
            <w:r>
              <w:rPr>
                <w:b/>
                <w:sz w:val="18"/>
              </w:rPr>
              <w:t>bias</w:t>
            </w:r>
          </w:p>
        </w:tc>
        <w:tc>
          <w:tcPr>
            <w:tcW w:type="dxa" w:w="1008"/>
          </w:tcPr>
          <w:p>
            <w:r>
              <w:rPr>
                <w:b/>
                <w:sz w:val="18"/>
              </w:rPr>
              <w:t>RMSE</w:t>
            </w:r>
          </w:p>
        </w:tc>
        <w:tc>
          <w:tcPr>
            <w:tcW w:type="dxa" w:w="1440"/>
          </w:tcPr>
          <w:p>
            <w:r>
              <w:rPr>
                <w:b/>
                <w:sz w:val="18"/>
              </w:rPr>
              <w:t>% cells down</w:t>
            </w:r>
          </w:p>
        </w:tc>
      </w:tr>
      <w:tr>
        <w:tc>
          <w:tcPr>
            <w:tcW w:type="dxa" w:w="1152"/>
          </w:tcPr>
          <w:p>
            <w:r>
              <w:rPr>
                <w:sz w:val="18"/>
              </w:rPr>
              <w:t>SSP126</w:t>
            </w:r>
          </w:p>
        </w:tc>
        <w:tc>
          <w:tcPr>
            <w:tcW w:type="dxa" w:w="1440"/>
          </w:tcPr>
          <w:p>
            <w:r>
              <w:rPr>
                <w:sz w:val="18"/>
              </w:rPr>
              <w:t>2035-2064</w:t>
            </w:r>
          </w:p>
        </w:tc>
        <w:tc>
          <w:tcPr>
            <w:tcW w:type="dxa" w:w="1008"/>
          </w:tcPr>
          <w:p>
            <w:r>
              <w:rPr>
                <w:sz w:val="18"/>
              </w:rPr>
              <w:t>0.997</w:t>
            </w:r>
          </w:p>
        </w:tc>
        <w:tc>
          <w:tcPr>
            <w:tcW w:type="dxa" w:w="1008"/>
          </w:tcPr>
          <w:p>
            <w:r>
              <w:rPr>
                <w:sz w:val="18"/>
              </w:rPr>
              <w:t>1.012</w:t>
            </w:r>
          </w:p>
        </w:tc>
        <w:tc>
          <w:tcPr>
            <w:tcW w:type="dxa" w:w="1008"/>
          </w:tcPr>
          <w:p>
            <w:r>
              <w:rPr>
                <w:sz w:val="18"/>
              </w:rPr>
              <w:t>-1.0</w:t>
            </w:r>
          </w:p>
        </w:tc>
        <w:tc>
          <w:tcPr>
            <w:tcW w:type="dxa" w:w="1008"/>
          </w:tcPr>
          <w:p>
            <w:r>
              <w:rPr>
                <w:sz w:val="18"/>
              </w:rPr>
              <w:t>5.9</w:t>
            </w:r>
          </w:p>
        </w:tc>
        <w:tc>
          <w:tcPr>
            <w:tcW w:type="dxa" w:w="1440"/>
          </w:tcPr>
          <w:p>
            <w:r>
              <w:rPr>
                <w:sz w:val="18"/>
              </w:rPr>
              <w:t>64</w:t>
            </w:r>
          </w:p>
        </w:tc>
      </w:tr>
      <w:tr>
        <w:tc>
          <w:tcPr>
            <w:tcW w:type="dxa" w:w="1152"/>
          </w:tcPr>
          <w:p>
            <w:r>
              <w:rPr>
                <w:sz w:val="18"/>
              </w:rPr>
              <w:t>SSP245</w:t>
            </w:r>
          </w:p>
        </w:tc>
        <w:tc>
          <w:tcPr>
            <w:tcW w:type="dxa" w:w="1440"/>
          </w:tcPr>
          <w:p>
            <w:r>
              <w:rPr>
                <w:sz w:val="18"/>
              </w:rPr>
              <w:t>2035-2064</w:t>
            </w:r>
          </w:p>
        </w:tc>
        <w:tc>
          <w:tcPr>
            <w:tcW w:type="dxa" w:w="1008"/>
          </w:tcPr>
          <w:p>
            <w:r>
              <w:rPr>
                <w:sz w:val="18"/>
              </w:rPr>
              <w:t>0.996</w:t>
            </w:r>
          </w:p>
        </w:tc>
        <w:tc>
          <w:tcPr>
            <w:tcW w:type="dxa" w:w="1008"/>
          </w:tcPr>
          <w:p>
            <w:r>
              <w:rPr>
                <w:sz w:val="18"/>
              </w:rPr>
              <w:t>1.036</w:t>
            </w:r>
          </w:p>
        </w:tc>
        <w:tc>
          <w:tcPr>
            <w:tcW w:type="dxa" w:w="1008"/>
          </w:tcPr>
          <w:p>
            <w:r>
              <w:rPr>
                <w:sz w:val="18"/>
              </w:rPr>
              <w:t>-2.0</w:t>
            </w:r>
          </w:p>
        </w:tc>
        <w:tc>
          <w:tcPr>
            <w:tcW w:type="dxa" w:w="1008"/>
          </w:tcPr>
          <w:p>
            <w:r>
              <w:rPr>
                <w:sz w:val="18"/>
              </w:rPr>
              <w:t>8.3</w:t>
            </w:r>
          </w:p>
        </w:tc>
        <w:tc>
          <w:tcPr>
            <w:tcW w:type="dxa" w:w="1440"/>
          </w:tcPr>
          <w:p>
            <w:r>
              <w:rPr>
                <w:sz w:val="18"/>
              </w:rPr>
              <w:t>79</w:t>
            </w:r>
          </w:p>
        </w:tc>
      </w:tr>
      <w:tr>
        <w:tc>
          <w:tcPr>
            <w:tcW w:type="dxa" w:w="1152"/>
          </w:tcPr>
          <w:p>
            <w:r>
              <w:rPr>
                <w:sz w:val="18"/>
              </w:rPr>
              <w:t>SSP370</w:t>
            </w:r>
          </w:p>
        </w:tc>
        <w:tc>
          <w:tcPr>
            <w:tcW w:type="dxa" w:w="1440"/>
          </w:tcPr>
          <w:p>
            <w:r>
              <w:rPr>
                <w:sz w:val="18"/>
              </w:rPr>
              <w:t>2035-2064</w:t>
            </w:r>
          </w:p>
        </w:tc>
        <w:tc>
          <w:tcPr>
            <w:tcW w:type="dxa" w:w="1008"/>
          </w:tcPr>
          <w:p>
            <w:r>
              <w:rPr>
                <w:sz w:val="18"/>
              </w:rPr>
              <w:t>0.996</w:t>
            </w:r>
          </w:p>
        </w:tc>
        <w:tc>
          <w:tcPr>
            <w:tcW w:type="dxa" w:w="1008"/>
          </w:tcPr>
          <w:p>
            <w:r>
              <w:rPr>
                <w:sz w:val="18"/>
              </w:rPr>
              <w:t>1.031</w:t>
            </w:r>
          </w:p>
        </w:tc>
        <w:tc>
          <w:tcPr>
            <w:tcW w:type="dxa" w:w="1008"/>
          </w:tcPr>
          <w:p>
            <w:r>
              <w:rPr>
                <w:sz w:val="18"/>
              </w:rPr>
              <w:t>-0.9</w:t>
            </w:r>
          </w:p>
        </w:tc>
        <w:tc>
          <w:tcPr>
            <w:tcW w:type="dxa" w:w="1008"/>
          </w:tcPr>
          <w:p>
            <w:r>
              <w:rPr>
                <w:sz w:val="18"/>
              </w:rPr>
              <w:t>7.6</w:t>
            </w:r>
          </w:p>
        </w:tc>
        <w:tc>
          <w:tcPr>
            <w:tcW w:type="dxa" w:w="1440"/>
          </w:tcPr>
          <w:p>
            <w:r>
              <w:rPr>
                <w:sz w:val="18"/>
              </w:rPr>
              <w:t>69</w:t>
            </w:r>
          </w:p>
        </w:tc>
      </w:tr>
      <w:tr>
        <w:tc>
          <w:tcPr>
            <w:tcW w:type="dxa" w:w="1152"/>
          </w:tcPr>
          <w:p>
            <w:r>
              <w:rPr>
                <w:sz w:val="18"/>
              </w:rPr>
              <w:t>SSP585</w:t>
            </w:r>
          </w:p>
        </w:tc>
        <w:tc>
          <w:tcPr>
            <w:tcW w:type="dxa" w:w="1440"/>
          </w:tcPr>
          <w:p>
            <w:r>
              <w:rPr>
                <w:sz w:val="18"/>
              </w:rPr>
              <w:t>2035-2064</w:t>
            </w:r>
          </w:p>
        </w:tc>
        <w:tc>
          <w:tcPr>
            <w:tcW w:type="dxa" w:w="1008"/>
          </w:tcPr>
          <w:p>
            <w:r>
              <w:rPr>
                <w:sz w:val="18"/>
              </w:rPr>
              <w:t>0.995</w:t>
            </w:r>
          </w:p>
        </w:tc>
        <w:tc>
          <w:tcPr>
            <w:tcW w:type="dxa" w:w="1008"/>
          </w:tcPr>
          <w:p>
            <w:r>
              <w:rPr>
                <w:sz w:val="18"/>
              </w:rPr>
              <w:t>0.998</w:t>
            </w:r>
          </w:p>
        </w:tc>
        <w:tc>
          <w:tcPr>
            <w:tcW w:type="dxa" w:w="1008"/>
          </w:tcPr>
          <w:p>
            <w:r>
              <w:rPr>
                <w:sz w:val="18"/>
              </w:rPr>
              <w:t>-1.2</w:t>
            </w:r>
          </w:p>
        </w:tc>
        <w:tc>
          <w:tcPr>
            <w:tcW w:type="dxa" w:w="1008"/>
          </w:tcPr>
          <w:p>
            <w:r>
              <w:rPr>
                <w:sz w:val="18"/>
              </w:rPr>
              <w:t>7.7</w:t>
            </w:r>
          </w:p>
        </w:tc>
        <w:tc>
          <w:tcPr>
            <w:tcW w:type="dxa" w:w="1440"/>
          </w:tcPr>
          <w:p>
            <w:r>
              <w:rPr>
                <w:sz w:val="18"/>
              </w:rPr>
              <w:t>64</w:t>
            </w:r>
          </w:p>
        </w:tc>
      </w:tr>
      <w:tr>
        <w:tc>
          <w:tcPr>
            <w:tcW w:type="dxa" w:w="1152"/>
          </w:tcPr>
          <w:p>
            <w:r>
              <w:rPr>
                <w:sz w:val="18"/>
              </w:rPr>
              <w:t>SSP126</w:t>
            </w:r>
          </w:p>
        </w:tc>
        <w:tc>
          <w:tcPr>
            <w:tcW w:type="dxa" w:w="1440"/>
          </w:tcPr>
          <w:p>
            <w:r>
              <w:rPr>
                <w:sz w:val="18"/>
              </w:rPr>
              <w:t>2070-2099</w:t>
            </w:r>
          </w:p>
        </w:tc>
        <w:tc>
          <w:tcPr>
            <w:tcW w:type="dxa" w:w="1008"/>
          </w:tcPr>
          <w:p>
            <w:r>
              <w:rPr>
                <w:sz w:val="18"/>
              </w:rPr>
              <w:t>0.996</w:t>
            </w:r>
          </w:p>
        </w:tc>
        <w:tc>
          <w:tcPr>
            <w:tcW w:type="dxa" w:w="1008"/>
          </w:tcPr>
          <w:p>
            <w:r>
              <w:rPr>
                <w:sz w:val="18"/>
              </w:rPr>
              <w:t>1.016</w:t>
            </w:r>
          </w:p>
        </w:tc>
        <w:tc>
          <w:tcPr>
            <w:tcW w:type="dxa" w:w="1008"/>
          </w:tcPr>
          <w:p>
            <w:r>
              <w:rPr>
                <w:sz w:val="18"/>
              </w:rPr>
              <w:t>-3.4</w:t>
            </w:r>
          </w:p>
        </w:tc>
        <w:tc>
          <w:tcPr>
            <w:tcW w:type="dxa" w:w="1008"/>
          </w:tcPr>
          <w:p>
            <w:r>
              <w:rPr>
                <w:sz w:val="18"/>
              </w:rPr>
              <w:t>8.2</w:t>
            </w:r>
          </w:p>
        </w:tc>
        <w:tc>
          <w:tcPr>
            <w:tcW w:type="dxa" w:w="1440"/>
          </w:tcPr>
          <w:p>
            <w:r>
              <w:rPr>
                <w:sz w:val="18"/>
              </w:rPr>
              <w:t>88</w:t>
            </w:r>
          </w:p>
        </w:tc>
      </w:tr>
      <w:tr>
        <w:tc>
          <w:tcPr>
            <w:tcW w:type="dxa" w:w="1152"/>
          </w:tcPr>
          <w:p>
            <w:r>
              <w:rPr>
                <w:sz w:val="18"/>
              </w:rPr>
              <w:t>SSP245</w:t>
            </w:r>
          </w:p>
        </w:tc>
        <w:tc>
          <w:tcPr>
            <w:tcW w:type="dxa" w:w="1440"/>
          </w:tcPr>
          <w:p>
            <w:r>
              <w:rPr>
                <w:sz w:val="18"/>
              </w:rPr>
              <w:t>2070-2099</w:t>
            </w:r>
          </w:p>
        </w:tc>
        <w:tc>
          <w:tcPr>
            <w:tcW w:type="dxa" w:w="1008"/>
          </w:tcPr>
          <w:p>
            <w:r>
              <w:rPr>
                <w:sz w:val="18"/>
              </w:rPr>
              <w:t>0.994</w:t>
            </w:r>
          </w:p>
        </w:tc>
        <w:tc>
          <w:tcPr>
            <w:tcW w:type="dxa" w:w="1008"/>
          </w:tcPr>
          <w:p>
            <w:r>
              <w:rPr>
                <w:sz w:val="18"/>
              </w:rPr>
              <w:t>1.054</w:t>
            </w:r>
          </w:p>
        </w:tc>
        <w:tc>
          <w:tcPr>
            <w:tcW w:type="dxa" w:w="1008"/>
          </w:tcPr>
          <w:p>
            <w:r>
              <w:rPr>
                <w:sz w:val="18"/>
              </w:rPr>
              <w:t>-0.0</w:t>
            </w:r>
          </w:p>
        </w:tc>
        <w:tc>
          <w:tcPr>
            <w:tcW w:type="dxa" w:w="1008"/>
          </w:tcPr>
          <w:p>
            <w:r>
              <w:rPr>
                <w:sz w:val="18"/>
              </w:rPr>
              <w:t>10.3</w:t>
            </w:r>
          </w:p>
        </w:tc>
        <w:tc>
          <w:tcPr>
            <w:tcW w:type="dxa" w:w="1440"/>
          </w:tcPr>
          <w:p>
            <w:r>
              <w:rPr>
                <w:sz w:val="18"/>
              </w:rPr>
              <w:t>65</w:t>
            </w:r>
          </w:p>
        </w:tc>
      </w:tr>
      <w:tr>
        <w:tc>
          <w:tcPr>
            <w:tcW w:type="dxa" w:w="1152"/>
          </w:tcPr>
          <w:p>
            <w:r>
              <w:rPr>
                <w:sz w:val="18"/>
              </w:rPr>
              <w:t>SSP370</w:t>
            </w:r>
          </w:p>
        </w:tc>
        <w:tc>
          <w:tcPr>
            <w:tcW w:type="dxa" w:w="1440"/>
          </w:tcPr>
          <w:p>
            <w:r>
              <w:rPr>
                <w:sz w:val="18"/>
              </w:rPr>
              <w:t>2070-2099</w:t>
            </w:r>
          </w:p>
        </w:tc>
        <w:tc>
          <w:tcPr>
            <w:tcW w:type="dxa" w:w="1008"/>
          </w:tcPr>
          <w:p>
            <w:r>
              <w:rPr>
                <w:sz w:val="18"/>
              </w:rPr>
              <w:t>0.987</w:t>
            </w:r>
          </w:p>
        </w:tc>
        <w:tc>
          <w:tcPr>
            <w:tcW w:type="dxa" w:w="1008"/>
          </w:tcPr>
          <w:p>
            <w:r>
              <w:rPr>
                <w:sz w:val="18"/>
              </w:rPr>
              <w:t>1.057</w:t>
            </w:r>
          </w:p>
        </w:tc>
        <w:tc>
          <w:tcPr>
            <w:tcW w:type="dxa" w:w="1008"/>
          </w:tcPr>
          <w:p>
            <w:r>
              <w:rPr>
                <w:sz w:val="18"/>
              </w:rPr>
              <w:t>-4.3</w:t>
            </w:r>
          </w:p>
        </w:tc>
        <w:tc>
          <w:tcPr>
            <w:tcW w:type="dxa" w:w="1008"/>
          </w:tcPr>
          <w:p>
            <w:r>
              <w:rPr>
                <w:sz w:val="18"/>
              </w:rPr>
              <w:t>15.0</w:t>
            </w:r>
          </w:p>
        </w:tc>
        <w:tc>
          <w:tcPr>
            <w:tcW w:type="dxa" w:w="1440"/>
          </w:tcPr>
          <w:p>
            <w:r>
              <w:rPr>
                <w:sz w:val="18"/>
              </w:rPr>
              <w:t>87</w:t>
            </w:r>
          </w:p>
        </w:tc>
      </w:tr>
      <w:tr>
        <w:tc>
          <w:tcPr>
            <w:tcW w:type="dxa" w:w="1152"/>
          </w:tcPr>
          <w:p>
            <w:r>
              <w:rPr>
                <w:sz w:val="18"/>
              </w:rPr>
              <w:t>SSP585</w:t>
            </w:r>
          </w:p>
        </w:tc>
        <w:tc>
          <w:tcPr>
            <w:tcW w:type="dxa" w:w="1440"/>
          </w:tcPr>
          <w:p>
            <w:r>
              <w:rPr>
                <w:sz w:val="18"/>
              </w:rPr>
              <w:t>2070-2099</w:t>
            </w:r>
          </w:p>
        </w:tc>
        <w:tc>
          <w:tcPr>
            <w:tcW w:type="dxa" w:w="1008"/>
          </w:tcPr>
          <w:p>
            <w:r>
              <w:rPr>
                <w:sz w:val="18"/>
              </w:rPr>
              <w:t>0.983</w:t>
            </w:r>
          </w:p>
        </w:tc>
        <w:tc>
          <w:tcPr>
            <w:tcW w:type="dxa" w:w="1008"/>
          </w:tcPr>
          <w:p>
            <w:r>
              <w:rPr>
                <w:sz w:val="18"/>
              </w:rPr>
              <w:t>1.042</w:t>
            </w:r>
          </w:p>
        </w:tc>
        <w:tc>
          <w:tcPr>
            <w:tcW w:type="dxa" w:w="1008"/>
          </w:tcPr>
          <w:p>
            <w:r>
              <w:rPr>
                <w:sz w:val="18"/>
              </w:rPr>
              <w:t>-5.0</w:t>
            </w:r>
          </w:p>
        </w:tc>
        <w:tc>
          <w:tcPr>
            <w:tcW w:type="dxa" w:w="1008"/>
          </w:tcPr>
          <w:p>
            <w:r>
              <w:rPr>
                <w:sz w:val="18"/>
              </w:rPr>
              <w:t>16.2</w:t>
            </w:r>
          </w:p>
        </w:tc>
        <w:tc>
          <w:tcPr>
            <w:tcW w:type="dxa" w:w="1440"/>
          </w:tcPr>
          <w:p>
            <w:r>
              <w:rPr>
                <w:sz w:val="18"/>
              </w:rPr>
              <w:t>88</w:t>
            </w:r>
          </w:p>
        </w:tc>
      </w:tr>
    </w:tbl>
    <w:p/>
    <w:p>
      <w:r>
        <w:t>r stays between 0.983 and 0.997: the spatial pattern of M' is almost entirely inherited from Revised_M_Roxburgh, which is what a delta-change method should produce — the projection rescales the reference rather than redrawing it. The slope above 1 in most windows says the rescaling is not uniform: low-biomass cells lose a larger *fraction* than high-biomass ones. Bias and RMSE grow together from the mid to the late window and from low to high forcing, and the share of declining cells rises from 64% to 88%, so the late-century high-forcing decline is both deeper and more widespread.</w:t>
      </w:r>
    </w:p>
    <w:p>
      <w:r>
        <w:t>Figure 9 is the cell-by-cell comparison. The x axis is Revised_M_Roxburgh at a cell, the y axis the future M' at the same cell, and the hexagon shading counts cells; the dashed line is 1:1, so anything below it loses potential biomass. A delta-change method cannot move a cell far off that line, which is why the statistics below matter more than the picture: the correlation is high by construction and it is the slope and the bias that carry the information. Each panel carries r, slope, bias, RMSE and MAE for that scenario-window; the same numbers are tabulated below.</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96"/>
          </w:tcPr>
          <w:p>
            <w:r>
              <w:rPr>
                <w:b/>
                <w:sz w:val="18"/>
              </w:rPr>
              <w:t>scenario</w:t>
            </w:r>
          </w:p>
        </w:tc>
        <w:tc>
          <w:tcPr>
            <w:tcW w:type="dxa" w:w="1440"/>
          </w:tcPr>
          <w:p>
            <w:r>
              <w:rPr>
                <w:b/>
                <w:sz w:val="18"/>
              </w:rPr>
              <w:t>window</w:t>
            </w:r>
          </w:p>
        </w:tc>
        <w:tc>
          <w:tcPr>
            <w:tcW w:type="dxa" w:w="1296"/>
          </w:tcPr>
          <w:p>
            <w:r>
              <w:rPr>
                <w:b/>
                <w:sz w:val="18"/>
              </w:rPr>
              <w:t>Pearson r</w:t>
            </w:r>
          </w:p>
        </w:tc>
        <w:tc>
          <w:tcPr>
            <w:tcW w:type="dxa" w:w="1296"/>
          </w:tcPr>
          <w:p>
            <w:r>
              <w:rPr>
                <w:b/>
                <w:sz w:val="18"/>
              </w:rPr>
              <w:t>OLS slope</w:t>
            </w:r>
          </w:p>
        </w:tc>
        <w:tc>
          <w:tcPr>
            <w:tcW w:type="dxa" w:w="1584"/>
          </w:tcPr>
          <w:p>
            <w:r>
              <w:rPr>
                <w:b/>
                <w:sz w:val="18"/>
              </w:rPr>
              <w:t>bias (t DM/ha)</w:t>
            </w:r>
          </w:p>
        </w:tc>
        <w:tc>
          <w:tcPr>
            <w:tcW w:type="dxa" w:w="1008"/>
          </w:tcPr>
          <w:p>
            <w:r>
              <w:rPr>
                <w:b/>
                <w:sz w:val="18"/>
              </w:rPr>
              <w:t>RMSE</w:t>
            </w:r>
          </w:p>
        </w:tc>
        <w:tc>
          <w:tcPr>
            <w:tcW w:type="dxa" w:w="1440"/>
          </w:tcPr>
          <w:p>
            <w:r>
              <w:rPr>
                <w:b/>
                <w:sz w:val="18"/>
              </w:rPr>
              <w:t>% cells down</w:t>
            </w:r>
          </w:p>
        </w:tc>
      </w:tr>
      <w:tr>
        <w:tc>
          <w:tcPr>
            <w:tcW w:type="dxa" w:w="1296"/>
          </w:tcPr>
          <w:p>
            <w:r>
              <w:rPr>
                <w:sz w:val="18"/>
              </w:rPr>
              <w:t>SSP126</w:t>
            </w:r>
          </w:p>
        </w:tc>
        <w:tc>
          <w:tcPr>
            <w:tcW w:type="dxa" w:w="1440"/>
          </w:tcPr>
          <w:p>
            <w:r>
              <w:rPr>
                <w:sz w:val="18"/>
              </w:rPr>
              <w:t>2035-2064</w:t>
            </w:r>
          </w:p>
        </w:tc>
        <w:tc>
          <w:tcPr>
            <w:tcW w:type="dxa" w:w="1296"/>
          </w:tcPr>
          <w:p>
            <w:r>
              <w:rPr>
                <w:sz w:val="18"/>
              </w:rPr>
              <w:t>0.997</w:t>
            </w:r>
          </w:p>
        </w:tc>
        <w:tc>
          <w:tcPr>
            <w:tcW w:type="dxa" w:w="1296"/>
          </w:tcPr>
          <w:p>
            <w:r>
              <w:rPr>
                <w:sz w:val="18"/>
              </w:rPr>
              <w:t>1.012</w:t>
            </w:r>
          </w:p>
        </w:tc>
        <w:tc>
          <w:tcPr>
            <w:tcW w:type="dxa" w:w="1584"/>
          </w:tcPr>
          <w:p>
            <w:r>
              <w:rPr>
                <w:sz w:val="18"/>
              </w:rPr>
              <w:t>-0.97</w:t>
            </w:r>
          </w:p>
        </w:tc>
        <w:tc>
          <w:tcPr>
            <w:tcW w:type="dxa" w:w="1008"/>
          </w:tcPr>
          <w:p>
            <w:r>
              <w:rPr>
                <w:sz w:val="18"/>
              </w:rPr>
              <w:t>5.9</w:t>
            </w:r>
          </w:p>
        </w:tc>
        <w:tc>
          <w:tcPr>
            <w:tcW w:type="dxa" w:w="1440"/>
          </w:tcPr>
          <w:p>
            <w:r>
              <w:rPr>
                <w:sz w:val="18"/>
              </w:rPr>
              <w:t>64</w:t>
            </w:r>
          </w:p>
        </w:tc>
      </w:tr>
      <w:tr>
        <w:tc>
          <w:tcPr>
            <w:tcW w:type="dxa" w:w="1296"/>
          </w:tcPr>
          <w:p>
            <w:r>
              <w:rPr>
                <w:sz w:val="18"/>
              </w:rPr>
              <w:t>SSP245</w:t>
            </w:r>
          </w:p>
        </w:tc>
        <w:tc>
          <w:tcPr>
            <w:tcW w:type="dxa" w:w="1440"/>
          </w:tcPr>
          <w:p>
            <w:r>
              <w:rPr>
                <w:sz w:val="18"/>
              </w:rPr>
              <w:t>2035-2064</w:t>
            </w:r>
          </w:p>
        </w:tc>
        <w:tc>
          <w:tcPr>
            <w:tcW w:type="dxa" w:w="1296"/>
          </w:tcPr>
          <w:p>
            <w:r>
              <w:rPr>
                <w:sz w:val="18"/>
              </w:rPr>
              <w:t>0.996</w:t>
            </w:r>
          </w:p>
        </w:tc>
        <w:tc>
          <w:tcPr>
            <w:tcW w:type="dxa" w:w="1296"/>
          </w:tcPr>
          <w:p>
            <w:r>
              <w:rPr>
                <w:sz w:val="18"/>
              </w:rPr>
              <w:t>1.036</w:t>
            </w:r>
          </w:p>
        </w:tc>
        <w:tc>
          <w:tcPr>
            <w:tcW w:type="dxa" w:w="1584"/>
          </w:tcPr>
          <w:p>
            <w:r>
              <w:rPr>
                <w:sz w:val="18"/>
              </w:rPr>
              <w:t>-1.96</w:t>
            </w:r>
          </w:p>
        </w:tc>
        <w:tc>
          <w:tcPr>
            <w:tcW w:type="dxa" w:w="1008"/>
          </w:tcPr>
          <w:p>
            <w:r>
              <w:rPr>
                <w:sz w:val="18"/>
              </w:rPr>
              <w:t>8.3</w:t>
            </w:r>
          </w:p>
        </w:tc>
        <w:tc>
          <w:tcPr>
            <w:tcW w:type="dxa" w:w="1440"/>
          </w:tcPr>
          <w:p>
            <w:r>
              <w:rPr>
                <w:sz w:val="18"/>
              </w:rPr>
              <w:t>79</w:t>
            </w:r>
          </w:p>
        </w:tc>
      </w:tr>
      <w:tr>
        <w:tc>
          <w:tcPr>
            <w:tcW w:type="dxa" w:w="1296"/>
          </w:tcPr>
          <w:p>
            <w:r>
              <w:rPr>
                <w:sz w:val="18"/>
              </w:rPr>
              <w:t>SSP370</w:t>
            </w:r>
          </w:p>
        </w:tc>
        <w:tc>
          <w:tcPr>
            <w:tcW w:type="dxa" w:w="1440"/>
          </w:tcPr>
          <w:p>
            <w:r>
              <w:rPr>
                <w:sz w:val="18"/>
              </w:rPr>
              <w:t>2035-2064</w:t>
            </w:r>
          </w:p>
        </w:tc>
        <w:tc>
          <w:tcPr>
            <w:tcW w:type="dxa" w:w="1296"/>
          </w:tcPr>
          <w:p>
            <w:r>
              <w:rPr>
                <w:sz w:val="18"/>
              </w:rPr>
              <w:t>0.996</w:t>
            </w:r>
          </w:p>
        </w:tc>
        <w:tc>
          <w:tcPr>
            <w:tcW w:type="dxa" w:w="1296"/>
          </w:tcPr>
          <w:p>
            <w:r>
              <w:rPr>
                <w:sz w:val="18"/>
              </w:rPr>
              <w:t>1.031</w:t>
            </w:r>
          </w:p>
        </w:tc>
        <w:tc>
          <w:tcPr>
            <w:tcW w:type="dxa" w:w="1584"/>
          </w:tcPr>
          <w:p>
            <w:r>
              <w:rPr>
                <w:sz w:val="18"/>
              </w:rPr>
              <w:t>-0.92</w:t>
            </w:r>
          </w:p>
        </w:tc>
        <w:tc>
          <w:tcPr>
            <w:tcW w:type="dxa" w:w="1008"/>
          </w:tcPr>
          <w:p>
            <w:r>
              <w:rPr>
                <w:sz w:val="18"/>
              </w:rPr>
              <w:t>7.6</w:t>
            </w:r>
          </w:p>
        </w:tc>
        <w:tc>
          <w:tcPr>
            <w:tcW w:type="dxa" w:w="1440"/>
          </w:tcPr>
          <w:p>
            <w:r>
              <w:rPr>
                <w:sz w:val="18"/>
              </w:rPr>
              <w:t>69</w:t>
            </w:r>
          </w:p>
        </w:tc>
      </w:tr>
      <w:tr>
        <w:tc>
          <w:tcPr>
            <w:tcW w:type="dxa" w:w="1296"/>
          </w:tcPr>
          <w:p>
            <w:r>
              <w:rPr>
                <w:sz w:val="18"/>
              </w:rPr>
              <w:t>SSP585</w:t>
            </w:r>
          </w:p>
        </w:tc>
        <w:tc>
          <w:tcPr>
            <w:tcW w:type="dxa" w:w="1440"/>
          </w:tcPr>
          <w:p>
            <w:r>
              <w:rPr>
                <w:sz w:val="18"/>
              </w:rPr>
              <w:t>2035-2064</w:t>
            </w:r>
          </w:p>
        </w:tc>
        <w:tc>
          <w:tcPr>
            <w:tcW w:type="dxa" w:w="1296"/>
          </w:tcPr>
          <w:p>
            <w:r>
              <w:rPr>
                <w:sz w:val="18"/>
              </w:rPr>
              <w:t>0.995</w:t>
            </w:r>
          </w:p>
        </w:tc>
        <w:tc>
          <w:tcPr>
            <w:tcW w:type="dxa" w:w="1296"/>
          </w:tcPr>
          <w:p>
            <w:r>
              <w:rPr>
                <w:sz w:val="18"/>
              </w:rPr>
              <w:t>0.998</w:t>
            </w:r>
          </w:p>
        </w:tc>
        <w:tc>
          <w:tcPr>
            <w:tcW w:type="dxa" w:w="1584"/>
          </w:tcPr>
          <w:p>
            <w:r>
              <w:rPr>
                <w:sz w:val="18"/>
              </w:rPr>
              <w:t>-1.16</w:t>
            </w:r>
          </w:p>
        </w:tc>
        <w:tc>
          <w:tcPr>
            <w:tcW w:type="dxa" w:w="1008"/>
          </w:tcPr>
          <w:p>
            <w:r>
              <w:rPr>
                <w:sz w:val="18"/>
              </w:rPr>
              <w:t>7.7</w:t>
            </w:r>
          </w:p>
        </w:tc>
        <w:tc>
          <w:tcPr>
            <w:tcW w:type="dxa" w:w="1440"/>
          </w:tcPr>
          <w:p>
            <w:r>
              <w:rPr>
                <w:sz w:val="18"/>
              </w:rPr>
              <w:t>64</w:t>
            </w:r>
          </w:p>
        </w:tc>
      </w:tr>
      <w:tr>
        <w:tc>
          <w:tcPr>
            <w:tcW w:type="dxa" w:w="1296"/>
          </w:tcPr>
          <w:p>
            <w:r>
              <w:rPr>
                <w:sz w:val="18"/>
              </w:rPr>
              <w:t>SSP126</w:t>
            </w:r>
          </w:p>
        </w:tc>
        <w:tc>
          <w:tcPr>
            <w:tcW w:type="dxa" w:w="1440"/>
          </w:tcPr>
          <w:p>
            <w:r>
              <w:rPr>
                <w:sz w:val="18"/>
              </w:rPr>
              <w:t>2070-2099</w:t>
            </w:r>
          </w:p>
        </w:tc>
        <w:tc>
          <w:tcPr>
            <w:tcW w:type="dxa" w:w="1296"/>
          </w:tcPr>
          <w:p>
            <w:r>
              <w:rPr>
                <w:sz w:val="18"/>
              </w:rPr>
              <w:t>0.996</w:t>
            </w:r>
          </w:p>
        </w:tc>
        <w:tc>
          <w:tcPr>
            <w:tcW w:type="dxa" w:w="1296"/>
          </w:tcPr>
          <w:p>
            <w:r>
              <w:rPr>
                <w:sz w:val="18"/>
              </w:rPr>
              <w:t>1.016</w:t>
            </w:r>
          </w:p>
        </w:tc>
        <w:tc>
          <w:tcPr>
            <w:tcW w:type="dxa" w:w="1584"/>
          </w:tcPr>
          <w:p>
            <w:r>
              <w:rPr>
                <w:sz w:val="18"/>
              </w:rPr>
              <w:t>-3.40</w:t>
            </w:r>
          </w:p>
        </w:tc>
        <w:tc>
          <w:tcPr>
            <w:tcW w:type="dxa" w:w="1008"/>
          </w:tcPr>
          <w:p>
            <w:r>
              <w:rPr>
                <w:sz w:val="18"/>
              </w:rPr>
              <w:t>8.2</w:t>
            </w:r>
          </w:p>
        </w:tc>
        <w:tc>
          <w:tcPr>
            <w:tcW w:type="dxa" w:w="1440"/>
          </w:tcPr>
          <w:p>
            <w:r>
              <w:rPr>
                <w:sz w:val="18"/>
              </w:rPr>
              <w:t>88</w:t>
            </w:r>
          </w:p>
        </w:tc>
      </w:tr>
      <w:tr>
        <w:tc>
          <w:tcPr>
            <w:tcW w:type="dxa" w:w="1296"/>
          </w:tcPr>
          <w:p>
            <w:r>
              <w:rPr>
                <w:sz w:val="18"/>
              </w:rPr>
              <w:t>SSP245</w:t>
            </w:r>
          </w:p>
        </w:tc>
        <w:tc>
          <w:tcPr>
            <w:tcW w:type="dxa" w:w="1440"/>
          </w:tcPr>
          <w:p>
            <w:r>
              <w:rPr>
                <w:sz w:val="18"/>
              </w:rPr>
              <w:t>2070-2099</w:t>
            </w:r>
          </w:p>
        </w:tc>
        <w:tc>
          <w:tcPr>
            <w:tcW w:type="dxa" w:w="1296"/>
          </w:tcPr>
          <w:p>
            <w:r>
              <w:rPr>
                <w:sz w:val="18"/>
              </w:rPr>
              <w:t>0.994</w:t>
            </w:r>
          </w:p>
        </w:tc>
        <w:tc>
          <w:tcPr>
            <w:tcW w:type="dxa" w:w="1296"/>
          </w:tcPr>
          <w:p>
            <w:r>
              <w:rPr>
                <w:sz w:val="18"/>
              </w:rPr>
              <w:t>1.054</w:t>
            </w:r>
          </w:p>
        </w:tc>
        <w:tc>
          <w:tcPr>
            <w:tcW w:type="dxa" w:w="1584"/>
          </w:tcPr>
          <w:p>
            <w:r>
              <w:rPr>
                <w:sz w:val="18"/>
              </w:rPr>
              <w:t>-0.05</w:t>
            </w:r>
          </w:p>
        </w:tc>
        <w:tc>
          <w:tcPr>
            <w:tcW w:type="dxa" w:w="1008"/>
          </w:tcPr>
          <w:p>
            <w:r>
              <w:rPr>
                <w:sz w:val="18"/>
              </w:rPr>
              <w:t>10.3</w:t>
            </w:r>
          </w:p>
        </w:tc>
        <w:tc>
          <w:tcPr>
            <w:tcW w:type="dxa" w:w="1440"/>
          </w:tcPr>
          <w:p>
            <w:r>
              <w:rPr>
                <w:sz w:val="18"/>
              </w:rPr>
              <w:t>65</w:t>
            </w:r>
          </w:p>
        </w:tc>
      </w:tr>
      <w:tr>
        <w:tc>
          <w:tcPr>
            <w:tcW w:type="dxa" w:w="1296"/>
          </w:tcPr>
          <w:p>
            <w:r>
              <w:rPr>
                <w:sz w:val="18"/>
              </w:rPr>
              <w:t>SSP370</w:t>
            </w:r>
          </w:p>
        </w:tc>
        <w:tc>
          <w:tcPr>
            <w:tcW w:type="dxa" w:w="1440"/>
          </w:tcPr>
          <w:p>
            <w:r>
              <w:rPr>
                <w:sz w:val="18"/>
              </w:rPr>
              <w:t>2070-2099</w:t>
            </w:r>
          </w:p>
        </w:tc>
        <w:tc>
          <w:tcPr>
            <w:tcW w:type="dxa" w:w="1296"/>
          </w:tcPr>
          <w:p>
            <w:r>
              <w:rPr>
                <w:sz w:val="18"/>
              </w:rPr>
              <w:t>0.987</w:t>
            </w:r>
          </w:p>
        </w:tc>
        <w:tc>
          <w:tcPr>
            <w:tcW w:type="dxa" w:w="1296"/>
          </w:tcPr>
          <w:p>
            <w:r>
              <w:rPr>
                <w:sz w:val="18"/>
              </w:rPr>
              <w:t>1.057</w:t>
            </w:r>
          </w:p>
        </w:tc>
        <w:tc>
          <w:tcPr>
            <w:tcW w:type="dxa" w:w="1584"/>
          </w:tcPr>
          <w:p>
            <w:r>
              <w:rPr>
                <w:sz w:val="18"/>
              </w:rPr>
              <w:t>-4.31</w:t>
            </w:r>
          </w:p>
        </w:tc>
        <w:tc>
          <w:tcPr>
            <w:tcW w:type="dxa" w:w="1008"/>
          </w:tcPr>
          <w:p>
            <w:r>
              <w:rPr>
                <w:sz w:val="18"/>
              </w:rPr>
              <w:t>15.0</w:t>
            </w:r>
          </w:p>
        </w:tc>
        <w:tc>
          <w:tcPr>
            <w:tcW w:type="dxa" w:w="1440"/>
          </w:tcPr>
          <w:p>
            <w:r>
              <w:rPr>
                <w:sz w:val="18"/>
              </w:rPr>
              <w:t>87</w:t>
            </w:r>
          </w:p>
        </w:tc>
      </w:tr>
      <w:tr>
        <w:tc>
          <w:tcPr>
            <w:tcW w:type="dxa" w:w="1296"/>
          </w:tcPr>
          <w:p>
            <w:r>
              <w:rPr>
                <w:sz w:val="18"/>
              </w:rPr>
              <w:t>SSP585</w:t>
            </w:r>
          </w:p>
        </w:tc>
        <w:tc>
          <w:tcPr>
            <w:tcW w:type="dxa" w:w="1440"/>
          </w:tcPr>
          <w:p>
            <w:r>
              <w:rPr>
                <w:sz w:val="18"/>
              </w:rPr>
              <w:t>2070-2099</w:t>
            </w:r>
          </w:p>
        </w:tc>
        <w:tc>
          <w:tcPr>
            <w:tcW w:type="dxa" w:w="1296"/>
          </w:tcPr>
          <w:p>
            <w:r>
              <w:rPr>
                <w:sz w:val="18"/>
              </w:rPr>
              <w:t>0.983</w:t>
            </w:r>
          </w:p>
        </w:tc>
        <w:tc>
          <w:tcPr>
            <w:tcW w:type="dxa" w:w="1296"/>
          </w:tcPr>
          <w:p>
            <w:r>
              <w:rPr>
                <w:sz w:val="18"/>
              </w:rPr>
              <w:t>1.042</w:t>
            </w:r>
          </w:p>
        </w:tc>
        <w:tc>
          <w:tcPr>
            <w:tcW w:type="dxa" w:w="1584"/>
          </w:tcPr>
          <w:p>
            <w:r>
              <w:rPr>
                <w:sz w:val="18"/>
              </w:rPr>
              <w:t>-4.99</w:t>
            </w:r>
          </w:p>
        </w:tc>
        <w:tc>
          <w:tcPr>
            <w:tcW w:type="dxa" w:w="1008"/>
          </w:tcPr>
          <w:p>
            <w:r>
              <w:rPr>
                <w:sz w:val="18"/>
              </w:rPr>
              <w:t>16.2</w:t>
            </w:r>
          </w:p>
        </w:tc>
        <w:tc>
          <w:tcPr>
            <w:tcW w:type="dxa" w:w="1440"/>
          </w:tcPr>
          <w:p>
            <w:r>
              <w:rPr>
                <w:sz w:val="18"/>
              </w:rPr>
              <w:t>88</w:t>
            </w:r>
          </w:p>
        </w:tc>
      </w:tr>
    </w:tbl>
    <w:p/>
    <w:p>
      <w:pPr>
        <w:jc w:val="center"/>
      </w:pPr>
      <w:r>
        <w:drawing>
          <wp:inline xmlns:a="http://schemas.openxmlformats.org/drawingml/2006/main" xmlns:pic="http://schemas.openxmlformats.org/drawingml/2006/picture">
            <wp:extent cx="5852160" cy="2900330"/>
            <wp:docPr id="11" name="Picture 11"/>
            <wp:cNvGraphicFramePr>
              <a:graphicFrameLocks noChangeAspect="1"/>
            </wp:cNvGraphicFramePr>
            <a:graphic>
              <a:graphicData uri="http://schemas.openxmlformats.org/drawingml/2006/picture">
                <pic:pic>
                  <pic:nvPicPr>
                    <pic:cNvPr id="0" name="fig_09_scatter_vs_Revised_M_Roxburgh.png"/>
                    <pic:cNvPicPr/>
                  </pic:nvPicPr>
                  <pic:blipFill>
                    <a:blip r:embed="rId18"/>
                    <a:stretch>
                      <a:fillRect/>
                    </a:stretch>
                  </pic:blipFill>
                  <pic:spPr>
                    <a:xfrm>
                      <a:off x="0" y="0"/>
                      <a:ext cx="5852160" cy="2900330"/>
                    </a:xfrm>
                    <a:prstGeom prst="rect"/>
                  </pic:spPr>
                </pic:pic>
              </a:graphicData>
            </a:graphic>
          </wp:inline>
        </w:drawing>
      </w:r>
    </w:p>
    <w:p>
      <w:pPr>
        <w:jc w:val="left"/>
      </w:pPr>
      <w:r>
        <w:rPr>
          <w:i/>
          <w:color w:val="52514E"/>
          <w:sz w:val="17"/>
        </w:rPr>
        <w:t>Figure 9. M' against Revised_M_Roxburgh, one hexbin per scenario-window. The dashed line is 1:1; cells below it lose biomass. The cloud tightens around the line at low biomass and fans out above ~200 t DM ha⁻¹, where a few large movers set the RMSE.</w:t>
      </w:r>
    </w:p>
    <w:p>
      <w:pPr>
        <w:pStyle w:val="Heading2"/>
      </w:pPr>
      <w:r>
        <w:t>National total</w:t>
      </w:r>
    </w:p>
    <w:p>
      <w:r>
        <w:t>Area-weighted, the national total falls in every scenario-window: from 34,363 Mt DM to between 30,446 and 34,209 Mt DM, i.e. -0.4% (SSP245 2070-2099) to -11.4% (SSP585 2070-2099). The totals fall less than the per-cell medians because the deepest relative losses are in low- and mid-biomass cells, which carry little of the total.</w:t>
      </w:r>
    </w:p>
    <w:p>
      <w:r>
        <w:t>This is a carrying-capacity total, not an inventory: M' is what a site could carry at maturity, not what stands on it today.</w:t>
      </w:r>
    </w:p>
    <w:p>
      <w:r>
        <w:t>Figure 10 aggregates. Each cell's M' in t DM ha⁻¹ is multiplied by that cell's area in hectares and summed over the NLUM mask, giving Mt DM. The area is not constant: cells are 0.01° geographic, so their width shrinks with latitude as cos(lat), and ignoring that over-weights the south by several per cent. Panel (a) shows the totals against the reference line, panel (b) the same as a percentage change. This is a carrying-capacity total, not an inventory — M' is what a site could carry at maturity, not what stands there now.</w:t>
      </w:r>
    </w:p>
    <w:p>
      <w:pPr>
        <w:jc w:val="center"/>
      </w:pPr>
      <w:r>
        <w:drawing>
          <wp:inline xmlns:a="http://schemas.openxmlformats.org/drawingml/2006/main" xmlns:pic="http://schemas.openxmlformats.org/drawingml/2006/picture">
            <wp:extent cx="5852160" cy="3990717"/>
            <wp:docPr id="12" name="Picture 12"/>
            <wp:cNvGraphicFramePr>
              <a:graphicFrameLocks noChangeAspect="1"/>
            </wp:cNvGraphicFramePr>
            <a:graphic>
              <a:graphicData uri="http://schemas.openxmlformats.org/drawingml/2006/picture">
                <pic:pic>
                  <pic:nvPicPr>
                    <pic:cNvPr id="0" name="fig_10a_national_total.png"/>
                    <pic:cNvPicPr/>
                  </pic:nvPicPr>
                  <pic:blipFill>
                    <a:blip r:embed="rId19"/>
                    <a:stretch>
                      <a:fillRect/>
                    </a:stretch>
                  </pic:blipFill>
                  <pic:spPr>
                    <a:xfrm>
                      <a:off x="0" y="0"/>
                      <a:ext cx="5852160" cy="3990717"/>
                    </a:xfrm>
                    <a:prstGeom prst="rect"/>
                  </pic:spPr>
                </pic:pic>
              </a:graphicData>
            </a:graphic>
          </wp:inline>
        </w:drawing>
      </w:r>
    </w:p>
    <w:p>
      <w:pPr>
        <w:jc w:val="left"/>
      </w:pPr>
      <w:r>
        <w:rPr>
          <w:i/>
          <w:color w:val="52514E"/>
          <w:sz w:val="17"/>
        </w:rPr>
        <w:t>Figure 10a. National total above-ground biomass by scenario-window, against the Revised_M_Roxburgh reference line.</w:t>
      </w:r>
    </w:p>
    <w:p>
      <w:pPr>
        <w:jc w:val="center"/>
      </w:pPr>
      <w:r>
        <w:drawing>
          <wp:inline xmlns:a="http://schemas.openxmlformats.org/drawingml/2006/main" xmlns:pic="http://schemas.openxmlformats.org/drawingml/2006/picture">
            <wp:extent cx="5852160" cy="4367138"/>
            <wp:docPr id="13" name="Picture 13"/>
            <wp:cNvGraphicFramePr>
              <a:graphicFrameLocks noChangeAspect="1"/>
            </wp:cNvGraphicFramePr>
            <a:graphic>
              <a:graphicData uri="http://schemas.openxmlformats.org/drawingml/2006/picture">
                <pic:pic>
                  <pic:nvPicPr>
                    <pic:cNvPr id="0" name="fig_10b_national_total_change.png"/>
                    <pic:cNvPicPr/>
                  </pic:nvPicPr>
                  <pic:blipFill>
                    <a:blip r:embed="rId20"/>
                    <a:stretch>
                      <a:fillRect/>
                    </a:stretch>
                  </pic:blipFill>
                  <pic:spPr>
                    <a:xfrm>
                      <a:off x="0" y="0"/>
                      <a:ext cx="5852160" cy="4367138"/>
                    </a:xfrm>
                    <a:prstGeom prst="rect"/>
                  </pic:spPr>
                </pic:pic>
              </a:graphicData>
            </a:graphic>
          </wp:inline>
        </w:drawing>
      </w:r>
    </w:p>
    <w:p>
      <w:pPr>
        <w:jc w:val="left"/>
      </w:pPr>
      <w:r>
        <w:rPr>
          <w:i/>
          <w:color w:val="52514E"/>
          <w:sz w:val="17"/>
        </w:rPr>
        <w:t>Figure 10b. The same as a percentage change. Note the non-monotonic ordering: SSP245 2070-2099 is the mildest of the eight, which the Random_forest_CSIRO report traces to ACCESS-CM2 r4i1p1f1 rainfall and humidity rather than to the forcing level.</w:t>
      </w:r>
    </w:p>
    <w:p>
      <w:pPr>
        <w:pStyle w:val="Heading2"/>
      </w:pPr>
      <w:r>
        <w:t>A third CV: future M' against the reference map</w:t>
      </w:r>
    </w:p>
    <w:p>
      <w:r>
        <w:t>The interannual and across-scenario CVs above have no counterpart in Revised_M_Roxburgh, which is a single static layer. The spatial CV does: sd over cells divided by the mean over cells, one number per map. It rises from 169.8% for Revised_M_Roxburgh to 174.7-201.8% across the eight scenario-windows, so the projection makes the map more uneven rather than less — the losses are concentrated, not spread evenly, which is the same thing the decile figure says from the other direction.</w:t>
      </w:r>
    </w:p>
    <w:p>
      <w:r>
        <w:t>A note on the name: this report and its figures call the reference Revised_M_Roxburgh, the revised maximum biomass layer of Roxburgh et al. (2019). The file on disk keeps its released name, New_M_2019_NLUM.tif, and the CSV columns keep New_M_2019 as their key, so the two names refer to one layer throughout.</w:t>
      </w:r>
    </w:p>
    <w:p>
      <w:r>
        <w:t>How Figure 14 is computed: for one layer, the standard deviation over all cells divided by the mean over all cells. One number per map, so it can be formed for Revised_M_Roxburgh too, which is why this is the CV that compares the projection with the reference. Panel (b) expresses each as a percentage change against the reference value.</w:t>
      </w:r>
    </w:p>
    <w:p>
      <w:pPr>
        <w:jc w:val="center"/>
      </w:pPr>
      <w:r>
        <w:drawing>
          <wp:inline xmlns:a="http://schemas.openxmlformats.org/drawingml/2006/main" xmlns:pic="http://schemas.openxmlformats.org/drawingml/2006/picture">
            <wp:extent cx="5852160" cy="2757268"/>
            <wp:docPr id="14" name="Picture 14"/>
            <wp:cNvGraphicFramePr>
              <a:graphicFrameLocks noChangeAspect="1"/>
            </wp:cNvGraphicFramePr>
            <a:graphic>
              <a:graphicData uri="http://schemas.openxmlformats.org/drawingml/2006/picture">
                <pic:pic>
                  <pic:nvPicPr>
                    <pic:cNvPr id="0" name="fig_14a_spatial_cv_vs_reference.png"/>
                    <pic:cNvPicPr/>
                  </pic:nvPicPr>
                  <pic:blipFill>
                    <a:blip r:embed="rId21"/>
                    <a:stretch>
                      <a:fillRect/>
                    </a:stretch>
                  </pic:blipFill>
                  <pic:spPr>
                    <a:xfrm>
                      <a:off x="0" y="0"/>
                      <a:ext cx="5852160" cy="2757268"/>
                    </a:xfrm>
                    <a:prstGeom prst="rect"/>
                  </pic:spPr>
                </pic:pic>
              </a:graphicData>
            </a:graphic>
          </wp:inline>
        </w:drawing>
      </w:r>
    </w:p>
    <w:p>
      <w:pPr>
        <w:jc w:val="left"/>
      </w:pPr>
      <w:r>
        <w:rPr>
          <w:i/>
          <w:color w:val="52514E"/>
          <w:sz w:val="17"/>
        </w:rPr>
        <w:t>Figure 14a. Spatial CV of each future layer against the Revised_M_Roxburgh reference.</w:t>
      </w:r>
    </w:p>
    <w:p>
      <w:pPr>
        <w:jc w:val="center"/>
      </w:pPr>
      <w:r>
        <w:drawing>
          <wp:inline xmlns:a="http://schemas.openxmlformats.org/drawingml/2006/main" xmlns:pic="http://schemas.openxmlformats.org/drawingml/2006/picture">
            <wp:extent cx="5852160" cy="3413760"/>
            <wp:docPr id="15" name="Picture 15"/>
            <wp:cNvGraphicFramePr>
              <a:graphicFrameLocks noChangeAspect="1"/>
            </wp:cNvGraphicFramePr>
            <a:graphic>
              <a:graphicData uri="http://schemas.openxmlformats.org/drawingml/2006/picture">
                <pic:pic>
                  <pic:nvPicPr>
                    <pic:cNvPr id="0" name="fig_14b_spatial_cv_change.png"/>
                    <pic:cNvPicPr/>
                  </pic:nvPicPr>
                  <pic:blipFill>
                    <a:blip r:embed="rId22"/>
                    <a:stretch>
                      <a:fillRect/>
                    </a:stretch>
                  </pic:blipFill>
                  <pic:spPr>
                    <a:xfrm>
                      <a:off x="0" y="0"/>
                      <a:ext cx="5852160" cy="3413760"/>
                    </a:xfrm>
                    <a:prstGeom prst="rect"/>
                  </pic:spPr>
                </pic:pic>
              </a:graphicData>
            </a:graphic>
          </wp:inline>
        </w:drawing>
      </w:r>
    </w:p>
    <w:p>
      <w:pPr>
        <w:jc w:val="left"/>
      </w:pPr>
      <w:r>
        <w:rPr>
          <w:i/>
          <w:color w:val="52514E"/>
          <w:sz w:val="17"/>
        </w:rPr>
        <w:t>Figure 14b. The same as a change against the reference.</w:t>
      </w:r>
    </w:p>
    <w:p>
      <w:pPr>
        <w:pStyle w:val="Heading2"/>
      </w:pPr>
      <w:r>
        <w:t>Where in the distribution the change falls</w:t>
      </w:r>
    </w:p>
    <w:p>
      <w:r>
        <w:t>Cells were binned into deciles of Revised_M_Roxburgh and the median change taken within each. The relative loss is deepest in the low and middle deciles - under SSP585 2070-2099 it reaches -32% in decile 4 - and shallowest in the top decile, at -6%. In absolute tonnes the ordering reverses, because the top decile holds most of the biomass. Both statements are true and they answer different questions; whichever is quoted, say which one it is.</w:t>
      </w:r>
    </w:p>
    <w:p>
      <w:r>
        <w:t>Figure 11 asks where in the distribution the change falls. Cells are sorted by their Revised_M_Roxburgh value and split into ten equal groups; within each group the median percentage change is taken. Decile 1 is the lowest-biomass tenth of the domain and decile 10 the highest. The curve falls and then rises, so the deepest relative losses are in the low and middle deciles and the shallowest in the top one. In absolute tonnes the ordering reverses, because decile 10 holds most of the biomass; that is why Figure 10 and Figure 11 can look like they disagree when they do not.</w:t>
      </w:r>
    </w:p>
    <w:p>
      <w:pPr>
        <w:jc w:val="center"/>
      </w:pPr>
      <w:r>
        <w:drawing>
          <wp:inline xmlns:a="http://schemas.openxmlformats.org/drawingml/2006/main" xmlns:pic="http://schemas.openxmlformats.org/drawingml/2006/picture">
            <wp:extent cx="5852160" cy="2194242"/>
            <wp:docPr id="16" name="Picture 16"/>
            <wp:cNvGraphicFramePr>
              <a:graphicFrameLocks noChangeAspect="1"/>
            </wp:cNvGraphicFramePr>
            <a:graphic>
              <a:graphicData uri="http://schemas.openxmlformats.org/drawingml/2006/picture">
                <pic:pic>
                  <pic:nvPicPr>
                    <pic:cNvPr id="0" name="fig_11_change_by_decile.png"/>
                    <pic:cNvPicPr/>
                  </pic:nvPicPr>
                  <pic:blipFill>
                    <a:blip r:embed="rId23"/>
                    <a:stretch>
                      <a:fillRect/>
                    </a:stretch>
                  </pic:blipFill>
                  <pic:spPr>
                    <a:xfrm>
                      <a:off x="0" y="0"/>
                      <a:ext cx="5852160" cy="2194242"/>
                    </a:xfrm>
                    <a:prstGeom prst="rect"/>
                  </pic:spPr>
                </pic:pic>
              </a:graphicData>
            </a:graphic>
          </wp:inline>
        </w:drawing>
      </w:r>
    </w:p>
    <w:p>
      <w:pPr>
        <w:jc w:val="left"/>
      </w:pPr>
      <w:r>
        <w:rPr>
          <w:i/>
          <w:color w:val="52514E"/>
          <w:sz w:val="17"/>
        </w:rPr>
        <w:t>Figure 11. Median change in M' by decile of Revised_M_Roxburgh, per scenario and window. Decile 1 is the lowest-biomass tenth of the domain.</w:t>
      </w:r>
    </w:p>
    <w:p>
      <w:pPr>
        <w:pStyle w:val="Heading2"/>
      </w:pPr>
      <w:r>
        <w:t>The result in one panel</w:t>
      </w:r>
    </w:p>
    <w:p>
      <w:r>
        <w:t>Figure 13 is the headline: the median M' of each scenario-window with every component of the ratio modelled by the random forest, against the hatched 1985-2014 baseline and the Revised_M_Roxburgh reference line. The baseline bar sits exactly on the line because averaging the modelled historical years returns Revised_M_Roxburgh by construction; every other bar is a projection, and all eight fall below it, from 15.4 to 20.1 t DM ha⁻¹ against 20.43.</w:t>
      </w:r>
    </w:p>
    <w:p>
      <w:r>
        <w:t>The percentages printed inside the bars are the shift in the median — median(M') against median(Revised_M_Roxburgh) — which is not the same statistic as the median of the per-cell changes tabulated earlier, because a median is not additive. The first answers "where does the middle of the map sit now", the second "what happens to a typical cell". Both are reported; say which one is being quoted.</w:t>
      </w:r>
    </w:p>
    <w:p>
      <w:pPr>
        <w:jc w:val="center"/>
      </w:pPr>
      <w:r>
        <w:drawing>
          <wp:inline xmlns:a="http://schemas.openxmlformats.org/drawingml/2006/main" xmlns:pic="http://schemas.openxmlformats.org/drawingml/2006/picture">
            <wp:extent cx="5852160" cy="2508069"/>
            <wp:docPr id="17" name="Picture 17"/>
            <wp:cNvGraphicFramePr>
              <a:graphicFrameLocks noChangeAspect="1"/>
            </wp:cNvGraphicFramePr>
            <a:graphic>
              <a:graphicData uri="http://schemas.openxmlformats.org/drawingml/2006/picture">
                <pic:pic>
                  <pic:nvPicPr>
                    <pic:cNvPr id="0" name="fig_13_rf_mprime_bars.png"/>
                    <pic:cNvPicPr/>
                  </pic:nvPicPr>
                  <pic:blipFill>
                    <a:blip r:embed="rId24"/>
                    <a:stretch>
                      <a:fillRect/>
                    </a:stretch>
                  </pic:blipFill>
                  <pic:spPr>
                    <a:xfrm>
                      <a:off x="0" y="0"/>
                      <a:ext cx="5852160" cy="2508069"/>
                    </a:xfrm>
                    <a:prstGeom prst="rect"/>
                  </pic:spPr>
                </pic:pic>
              </a:graphicData>
            </a:graphic>
          </wp:inline>
        </w:drawing>
      </w:r>
    </w:p>
    <w:p>
      <w:pPr>
        <w:jc w:val="left"/>
      </w:pPr>
      <w:r>
        <w:rPr>
          <w:i/>
          <w:color w:val="52514E"/>
          <w:sz w:val="17"/>
        </w:rPr>
        <w:t>Figure 13. Median M' across land cells for each scenario-window, all components from the random forest. Hatched: the 1985-2014 baseline. Dashed: Revised_M_Roxburgh.</w:t>
      </w:r>
    </w:p>
    <w:p>
      <w:pPr>
        <w:pStyle w:val="Heading1"/>
      </w:pPr>
      <w:r>
        <w:t>What to do with this</w:t>
      </w:r>
    </w:p>
    <w:p>
      <w:r>
        <w:t>Quote R² 0.931 (out of fold) as the model's accuracy, never the in-sample 0.968. Report the denominator change as methodological: the bias it removes was small, and saying so is stronger than implying it was large.</w:t>
      </w:r>
    </w:p>
    <w:p>
      <w:r>
        <w:t>The averaging order is a decision that has not been made explicitly anywhere in this repository, and it moves the headline number more than the modelling change does. It should be settled before any change figure is published, and the same order used on both sides of the ratio thereafter. Nothing here has been adopted into FullCAM_input_CSIRO_data/; that remains a separate decision.</w:t>
      </w:r>
    </w:p>
    <w:p>
      <w:r>
        <w:t>One file outside this folder was modified, backwards compatibly: Calculation_future_M_CSIRO/Step_08_apply_published_lambda.py gained the --hist-m, --out-dir and --layers flags, plus a guard for a run that contains no annual layers. Omit the flags and it behaves exactly as before, so Option B and the existing outputs are unaffected.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