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 3 - rebuilding biomass from the stem diameters</w:t>
      </w:r>
    </w:p>
    <w:p>
      <w:r>
        <w:rPr>
          <w:color w:val="52514E"/>
          <w:sz w:val="18"/>
        </w:rPr>
        <w:t>Space_time_validation/New_proposal/Run_03 · generated 2026-09-23 · the one run that needed new code</w:t>
      </w:r>
    </w:p>
    <w:p>
      <w:pPr>
        <w:pStyle w:val="Heading1"/>
      </w:pPr>
      <w:r>
        <w:t>What was proposed, and what the data says</w:t>
      </w:r>
    </w:p>
    <w:p>
      <w:r>
        <w:t>The proposal was that 12,505 Eucalyptus stems in 199 survey events carry the "single stemmed acacia trees" allometry, that their masses do not scale with diameter, and that recomputing those records with a eucalypt allometry would recover the Tasmanian Ausplots and part of the CSIRO set.</w:t>
      </w:r>
    </w:p>
    <w:p>
      <w:r>
        <w:t>The first half checks out almost exactly. The second half does not survive testing, and the reason is more consequential than the proposal.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3024"/>
          </w:tcPr>
          <w:p>
            <w:r>
              <w:rPr>
                <w:b/>
                <w:sz w:val="18"/>
              </w:rPr>
              <w:t>provider</w:t>
            </w:r>
          </w:p>
        </w:tc>
        <w:tc>
          <w:tcPr>
            <w:tcW w:type="dxa" w:w="1152"/>
          </w:tcPr>
          <w:p>
            <w:r>
              <w:rPr>
                <w:b/>
                <w:sz w:val="18"/>
              </w:rPr>
              <w:t>stems</w:t>
            </w:r>
          </w:p>
        </w:tc>
        <w:tc>
          <w:tcPr>
            <w:tcW w:type="dxa" w:w="1440"/>
          </w:tcPr>
          <w:p>
            <w:r>
              <w:rPr>
                <w:b/>
                <w:sz w:val="18"/>
              </w:rPr>
              <w:t>survey events</w:t>
            </w:r>
          </w:p>
        </w:tc>
        <w:tc>
          <w:tcPr>
            <w:tcW w:type="dxa" w:w="1728"/>
          </w:tcPr>
          <w:p>
            <w:r>
              <w:rPr>
                <w:b/>
                <w:sz w:val="18"/>
              </w:rPr>
              <w:t>largest diameter (cm)</w:t>
            </w:r>
          </w:p>
        </w:tc>
        <w:tc>
          <w:tcPr>
            <w:tcW w:type="dxa" w:w="1584"/>
          </w:tcPr>
          <w:p>
            <w:r>
              <w:rPr>
                <w:b/>
                <w:sz w:val="18"/>
              </w:rPr>
              <w:t>median mass (kg)</w:t>
            </w:r>
          </w:p>
        </w:tc>
      </w:tr>
      <w:tr>
        <w:tc>
          <w:tcPr>
            <w:tcW w:type="dxa" w:w="3024"/>
          </w:tcPr>
          <w:p>
            <w:r>
              <w:rPr>
                <w:sz w:val="18"/>
              </w:rPr>
              <w:t>TERN Australia</w:t>
            </w:r>
          </w:p>
        </w:tc>
        <w:tc>
          <w:tcPr>
            <w:tcW w:type="dxa" w:w="1152"/>
          </w:tcPr>
          <w:p>
            <w:r>
              <w:rPr>
                <w:sz w:val="18"/>
              </w:rPr>
              <w:t>8985</w:t>
            </w:r>
          </w:p>
        </w:tc>
        <w:tc>
          <w:tcPr>
            <w:tcW w:type="dxa" w:w="1440"/>
          </w:tcPr>
          <w:p>
            <w:r>
              <w:rPr>
                <w:sz w:val="18"/>
              </w:rPr>
              <w:t>49</w:t>
            </w:r>
          </w:p>
        </w:tc>
        <w:tc>
          <w:tcPr>
            <w:tcW w:type="dxa" w:w="1728"/>
          </w:tcPr>
          <w:p>
            <w:r>
              <w:rPr>
                <w:sz w:val="18"/>
              </w:rPr>
              <w:t>479</w:t>
            </w:r>
          </w:p>
        </w:tc>
        <w:tc>
          <w:tcPr>
            <w:tcW w:type="dxa" w:w="1584"/>
          </w:tcPr>
          <w:p>
            <w:r>
              <w:rPr>
                <w:sz w:val="18"/>
              </w:rPr>
              <w:t>3.7</w:t>
            </w:r>
          </w:p>
        </w:tc>
      </w:tr>
      <w:tr>
        <w:tc>
          <w:tcPr>
            <w:tcW w:type="dxa" w:w="3024"/>
          </w:tcPr>
          <w:p>
            <w:r>
              <w:rPr>
                <w:sz w:val="18"/>
              </w:rPr>
              <w:t>CSIRO</w:t>
            </w:r>
          </w:p>
        </w:tc>
        <w:tc>
          <w:tcPr>
            <w:tcW w:type="dxa" w:w="1152"/>
          </w:tcPr>
          <w:p>
            <w:r>
              <w:rPr>
                <w:sz w:val="18"/>
              </w:rPr>
              <w:t>2857</w:t>
            </w:r>
          </w:p>
        </w:tc>
        <w:tc>
          <w:tcPr>
            <w:tcW w:type="dxa" w:w="1440"/>
          </w:tcPr>
          <w:p>
            <w:r>
              <w:rPr>
                <w:sz w:val="18"/>
              </w:rPr>
              <w:t>133</w:t>
            </w:r>
          </w:p>
        </w:tc>
        <w:tc>
          <w:tcPr>
            <w:tcW w:type="dxa" w:w="1728"/>
          </w:tcPr>
          <w:p>
            <w:r>
              <w:rPr>
                <w:sz w:val="18"/>
              </w:rPr>
              <w:t>148</w:t>
            </w:r>
          </w:p>
        </w:tc>
        <w:tc>
          <w:tcPr>
            <w:tcW w:type="dxa" w:w="1584"/>
          </w:tcPr>
          <w:p>
            <w:r>
              <w:rPr>
                <w:sz w:val="18"/>
              </w:rPr>
              <w:t>28.1</w:t>
            </w:r>
          </w:p>
        </w:tc>
      </w:tr>
      <w:tr>
        <w:tc>
          <w:tcPr>
            <w:tcW w:type="dxa" w:w="3024"/>
          </w:tcPr>
          <w:p>
            <w:r>
              <w:rPr>
                <w:sz w:val="18"/>
              </w:rPr>
              <w:t>Charles Darwin University (NT)</w:t>
            </w:r>
          </w:p>
        </w:tc>
        <w:tc>
          <w:tcPr>
            <w:tcW w:type="dxa" w:w="1152"/>
          </w:tcPr>
          <w:p>
            <w:r>
              <w:rPr>
                <w:sz w:val="18"/>
              </w:rPr>
              <w:t>609</w:t>
            </w:r>
          </w:p>
        </w:tc>
        <w:tc>
          <w:tcPr>
            <w:tcW w:type="dxa" w:w="1440"/>
          </w:tcPr>
          <w:p>
            <w:r>
              <w:rPr>
                <w:sz w:val="18"/>
              </w:rPr>
              <w:t>6</w:t>
            </w:r>
          </w:p>
        </w:tc>
        <w:tc>
          <w:tcPr>
            <w:tcW w:type="dxa" w:w="1728"/>
          </w:tcPr>
          <w:p>
            <w:r>
              <w:rPr>
                <w:sz w:val="18"/>
              </w:rPr>
              <w:t>40</w:t>
            </w:r>
          </w:p>
        </w:tc>
        <w:tc>
          <w:tcPr>
            <w:tcW w:type="dxa" w:w="1584"/>
          </w:tcPr>
          <w:p>
            <w:r>
              <w:rPr>
                <w:sz w:val="18"/>
              </w:rPr>
              <w:t>6.7</w:t>
            </w:r>
          </w:p>
        </w:tc>
      </w:tr>
      <w:tr>
        <w:tc>
          <w:tcPr>
            <w:tcW w:type="dxa" w:w="3024"/>
          </w:tcPr>
          <w:p>
            <w:r>
              <w:rPr>
                <w:sz w:val="18"/>
              </w:rPr>
              <w:t>Department of the Environment Australia</w:t>
            </w:r>
          </w:p>
        </w:tc>
        <w:tc>
          <w:tcPr>
            <w:tcW w:type="dxa" w:w="1152"/>
          </w:tcPr>
          <w:p>
            <w:r>
              <w:rPr>
                <w:sz w:val="18"/>
              </w:rPr>
              <w:t>17</w:t>
            </w:r>
          </w:p>
        </w:tc>
        <w:tc>
          <w:tcPr>
            <w:tcW w:type="dxa" w:w="1440"/>
          </w:tcPr>
          <w:p>
            <w:r>
              <w:rPr>
                <w:sz w:val="18"/>
              </w:rPr>
              <w:t>8</w:t>
            </w:r>
          </w:p>
        </w:tc>
        <w:tc>
          <w:tcPr>
            <w:tcW w:type="dxa" w:w="1728"/>
          </w:tcPr>
          <w:p>
            <w:r>
              <w:rPr>
                <w:sz w:val="18"/>
              </w:rPr>
              <w:t>45</w:t>
            </w:r>
          </w:p>
        </w:tc>
        <w:tc>
          <w:tcPr>
            <w:tcW w:type="dxa" w:w="1584"/>
          </w:tcPr>
          <w:p>
            <w:r>
              <w:rPr>
                <w:sz w:val="18"/>
              </w:rPr>
              <w:t>111.8</w:t>
            </w:r>
          </w:p>
        </w:tc>
      </w:tr>
      <w:tr>
        <w:tc>
          <w:tcPr>
            <w:tcW w:type="dxa" w:w="3024"/>
          </w:tcPr>
          <w:p>
            <w:r>
              <w:rPr>
                <w:sz w:val="18"/>
              </w:rPr>
              <w:t>OEH NSW</w:t>
            </w:r>
          </w:p>
        </w:tc>
        <w:tc>
          <w:tcPr>
            <w:tcW w:type="dxa" w:w="1152"/>
          </w:tcPr>
          <w:p>
            <w:r>
              <w:rPr>
                <w:sz w:val="18"/>
              </w:rPr>
              <w:t>2</w:t>
            </w:r>
          </w:p>
        </w:tc>
        <w:tc>
          <w:tcPr>
            <w:tcW w:type="dxa" w:w="1440"/>
          </w:tcPr>
          <w:p>
            <w:r>
              <w:rPr>
                <w:sz w:val="18"/>
              </w:rPr>
              <w:t>2</w:t>
            </w:r>
          </w:p>
        </w:tc>
        <w:tc>
          <w:tcPr>
            <w:tcW w:type="dxa" w:w="1728"/>
          </w:tcPr>
          <w:p>
            <w:r>
              <w:rPr>
                <w:sz w:val="18"/>
              </w:rPr>
              <w:t>21</w:t>
            </w:r>
          </w:p>
        </w:tc>
        <w:tc>
          <w:tcPr>
            <w:tcW w:type="dxa" w:w="1584"/>
          </w:tcPr>
          <w:p>
            <w:r>
              <w:rPr>
                <w:sz w:val="18"/>
              </w:rPr>
              <w:t>42.5</w:t>
            </w:r>
          </w:p>
        </w:tc>
      </w:tr>
      <w:tr>
        <w:tc>
          <w:tcPr>
            <w:tcW w:type="dxa" w:w="3024"/>
          </w:tcPr>
          <w:p>
            <w:r>
              <w:rPr>
                <w:sz w:val="18"/>
              </w:rPr>
              <w:t>Flinders University (SA)</w:t>
            </w:r>
          </w:p>
        </w:tc>
        <w:tc>
          <w:tcPr>
            <w:tcW w:type="dxa" w:w="1152"/>
          </w:tcPr>
          <w:p>
            <w:r>
              <w:rPr>
                <w:sz w:val="18"/>
              </w:rPr>
              <w:t>1</w:t>
            </w:r>
          </w:p>
        </w:tc>
        <w:tc>
          <w:tcPr>
            <w:tcW w:type="dxa" w:w="1440"/>
          </w:tcPr>
          <w:p>
            <w:r>
              <w:rPr>
                <w:sz w:val="18"/>
              </w:rPr>
              <w:t>1</w:t>
            </w:r>
          </w:p>
        </w:tc>
        <w:tc>
          <w:tcPr>
            <w:tcW w:type="dxa" w:w="1728"/>
          </w:tcPr>
          <w:p>
            <w:r>
              <w:rPr>
                <w:sz w:val="18"/>
              </w:rPr>
              <w:t>28</w:t>
            </w:r>
          </w:p>
        </w:tc>
        <w:tc>
          <w:tcPr>
            <w:tcW w:type="dxa" w:w="1584"/>
          </w:tcPr>
          <w:p>
            <w:r>
              <w:rPr>
                <w:sz w:val="18"/>
              </w:rPr>
              <w:t>385.7</w:t>
            </w:r>
          </w:p>
        </w:tc>
      </w:tr>
    </w:tbl>
    <w:p/>
    <w:p>
      <w:pPr>
        <w:jc w:val="left"/>
      </w:pPr>
      <w:r>
        <w:rPr>
          <w:i/>
          <w:color w:val="52514E"/>
          <w:sz w:val="18"/>
        </w:rPr>
        <w:t>Table 1. Eucalyptus stems carrying the acacia model: 12,471 in 199 events, against the proposal's 12,505 in 199. The event count is exact.</w:t>
      </w:r>
    </w:p>
    <w:p>
      <w:pPr>
        <w:pStyle w:val="Heading2"/>
      </w:pPr>
      <w:r>
        <w:t>Why the mis-assignment cannot be the cause</w:t>
      </w:r>
    </w:p>
    <w:p>
      <w:r>
        <w:t>The correctly assigned stems fail exactly the same test.</w:t>
      </w:r>
    </w:p>
    <w:tbl>
      <w:tblPr>
        <w:tblStyle w:val="LightGrid-Accent1"/>
        <w:tblW w:type="auto" w:w="0"/>
        <w:tblLook w:firstColumn="1" w:firstRow="1" w:lastColumn="0" w:lastRow="0" w:noHBand="0" w:noVBand="1" w:val="04A0"/>
      </w:tblPr>
      <w:tblGrid>
        <w:gridCol w:w="2880"/>
        <w:gridCol w:w="2880"/>
        <w:gridCol w:w="2880"/>
      </w:tblGrid>
      <w:tr>
        <w:tc>
          <w:tcPr>
            <w:tcW w:type="dxa" w:w="4032"/>
          </w:tcPr>
          <w:p>
            <w:r>
              <w:rPr>
                <w:b/>
                <w:sz w:val="18"/>
              </w:rPr>
              <w:t>test</w:t>
            </w:r>
          </w:p>
        </w:tc>
        <w:tc>
          <w:tcPr>
            <w:tcW w:type="dxa" w:w="1296"/>
          </w:tcPr>
          <w:p>
            <w:r>
              <w:rPr>
                <w:b/>
                <w:sz w:val="18"/>
              </w:rPr>
              <w:t>value</w:t>
            </w:r>
          </w:p>
        </w:tc>
        <w:tc>
          <w:tcPr>
            <w:tcW w:type="dxa" w:w="3312"/>
          </w:tcPr>
          <w:p>
            <w:r>
              <w:rPr>
                <w:b/>
                <w:sz w:val="18"/>
              </w:rPr>
              <w:t>note</w:t>
            </w:r>
          </w:p>
        </w:tc>
      </w:tr>
      <w:tr>
        <w:tc>
          <w:tcPr>
            <w:tcW w:type="dxa" w:w="4032"/>
          </w:tcPr>
          <w:p>
            <w:r>
              <w:rPr>
                <w:sz w:val="18"/>
              </w:rPr>
              <w:t>Eucalyptus stems on the acacia model</w:t>
            </w:r>
          </w:p>
        </w:tc>
        <w:tc>
          <w:tcPr>
            <w:tcW w:type="dxa" w:w="1296"/>
          </w:tcPr>
          <w:p>
            <w:r>
              <w:rPr>
                <w:sz w:val="18"/>
              </w:rPr>
              <w:t>1.247e+04</w:t>
            </w:r>
          </w:p>
        </w:tc>
        <w:tc>
          <w:tcPr>
            <w:tcW w:type="dxa" w:w="3312"/>
          </w:tcPr>
          <w:p>
            <w:r>
              <w:rPr>
                <w:sz w:val="18"/>
              </w:rPr>
              <w:t>199 survey events</w:t>
            </w:r>
          </w:p>
        </w:tc>
      </w:tr>
      <w:tr>
        <w:tc>
          <w:tcPr>
            <w:tcW w:type="dxa" w:w="4032"/>
          </w:tcPr>
          <w:p>
            <w:r>
              <w:rPr>
                <w:sz w:val="18"/>
              </w:rPr>
              <w:t>spearman(diameter, mass), those stems</w:t>
            </w:r>
          </w:p>
        </w:tc>
        <w:tc>
          <w:tcPr>
            <w:tcW w:type="dxa" w:w="1296"/>
          </w:tcPr>
          <w:p>
            <w:r>
              <w:rPr>
                <w:sz w:val="18"/>
              </w:rPr>
              <w:t>-0.169</w:t>
            </w:r>
          </w:p>
        </w:tc>
        <w:tc>
          <w:tcPr>
            <w:tcW w:type="dxa" w:w="3312"/>
          </w:tcPr>
          <w:p>
            <w:r>
              <w:rPr>
                <w:sz w:val="18"/>
              </w:rPr>
              <w:t>largest stem 479 cm assigned 0 kg</w:t>
            </w:r>
          </w:p>
        </w:tc>
      </w:tr>
      <w:tr>
        <w:tc>
          <w:tcPr>
            <w:tcW w:type="dxa" w:w="4032"/>
          </w:tcPr>
          <w:p>
            <w:r>
              <w:rPr>
                <w:sz w:val="18"/>
              </w:rPr>
              <w:t>R2 of ln(mass) on ln(diameter), CORRECT eucalypt stems</w:t>
            </w:r>
          </w:p>
        </w:tc>
        <w:tc>
          <w:tcPr>
            <w:tcW w:type="dxa" w:w="1296"/>
          </w:tcPr>
          <w:p>
            <w:r>
              <w:rPr>
                <w:sz w:val="18"/>
              </w:rPr>
              <w:t>0.013</w:t>
            </w:r>
          </w:p>
        </w:tc>
        <w:tc>
          <w:tcPr>
            <w:tcW w:type="dxa" w:w="3312"/>
          </w:tcPr>
          <w:p>
            <w:r>
              <w:rPr>
                <w:sz w:val="18"/>
              </w:rPr>
              <w:t>slope -0.195 on 166,565 stems</w:t>
            </w:r>
          </w:p>
        </w:tc>
      </w:tr>
      <w:tr>
        <w:tc>
          <w:tcPr>
            <w:tcW w:type="dxa" w:w="4032"/>
          </w:tcPr>
          <w:p>
            <w:r>
              <w:rPr>
                <w:sz w:val="18"/>
              </w:rPr>
              <w:t>median spearman within subplot</w:t>
            </w:r>
          </w:p>
        </w:tc>
        <w:tc>
          <w:tcPr>
            <w:tcW w:type="dxa" w:w="1296"/>
          </w:tcPr>
          <w:p>
            <w:r>
              <w:rPr>
                <w:sz w:val="18"/>
              </w:rPr>
              <w:t>0.0006</w:t>
            </w:r>
          </w:p>
        </w:tc>
        <w:tc>
          <w:tcPr>
            <w:tcW w:type="dxa" w:w="3312"/>
          </w:tcPr>
          <w:p>
            <w:r>
              <w:rPr>
                <w:sz w:val="18"/>
              </w:rPr>
              <w:t>2435 subplots, 0.0% above 0.9</w:t>
            </w:r>
          </w:p>
        </w:tc>
      </w:tr>
      <w:tr>
        <w:tc>
          <w:tcPr>
            <w:tcW w:type="dxa" w:w="4032"/>
          </w:tcPr>
          <w:p>
            <w:r>
              <w:rPr>
                <w:sz w:val="18"/>
              </w:rPr>
              <w:t>median spearman within subplot+model+species</w:t>
            </w:r>
          </w:p>
        </w:tc>
        <w:tc>
          <w:tcPr>
            <w:tcW w:type="dxa" w:w="1296"/>
          </w:tcPr>
          <w:p>
            <w:r>
              <w:rPr>
                <w:sz w:val="18"/>
              </w:rPr>
              <w:t>-0.0044</w:t>
            </w:r>
          </w:p>
        </w:tc>
        <w:tc>
          <w:tcPr>
            <w:tcW w:type="dxa" w:w="3312"/>
          </w:tcPr>
          <w:p>
            <w:r>
              <w:rPr>
                <w:sz w:val="18"/>
              </w:rPr>
              <w:t>2133 groups, 0.0% above 0.9</w:t>
            </w:r>
          </w:p>
        </w:tc>
      </w:tr>
      <w:tr>
        <w:tc>
          <w:tcPr>
            <w:tcW w:type="dxa" w:w="4032"/>
          </w:tcPr>
          <w:p>
            <w:r>
              <w:rPr>
                <w:sz w:val="18"/>
              </w:rPr>
              <w:t>spearman(sum of stems / area, reported plot AGB)</w:t>
            </w:r>
          </w:p>
        </w:tc>
        <w:tc>
          <w:tcPr>
            <w:tcW w:type="dxa" w:w="1296"/>
          </w:tcPr>
          <w:p>
            <w:r>
              <w:rPr>
                <w:sz w:val="18"/>
              </w:rPr>
              <w:t>0.921</w:t>
            </w:r>
          </w:p>
        </w:tc>
        <w:tc>
          <w:tcPr>
            <w:tcW w:type="dxa" w:w="3312"/>
          </w:tcPr>
          <w:p>
            <w:r>
              <w:rPr>
                <w:sz w:val="18"/>
              </w:rPr>
              <w:t>a permutation preserves a sum</w:t>
            </w:r>
          </w:p>
        </w:tc>
      </w:tr>
    </w:tbl>
    <w:p/>
    <w:p>
      <w:pPr>
        <w:jc w:val="left"/>
      </w:pPr>
      <w:r>
        <w:rPr>
          <w:i/>
          <w:color w:val="52514E"/>
          <w:sz w:val="18"/>
        </w:rPr>
        <w:t>Table 2. The diagnosis.</w:t>
      </w:r>
    </w:p>
    <w:p>
      <w:pPr>
        <w:pStyle w:val="IntenseQuote"/>
      </w:pPr>
      <w:r>
        <w:t>Regressing log mass on log diameter for the 166,565 stems carrying the eucalypt model gives R2 = 0.013 and a negative slope. It is not a mixing artefact: holding the survey, the plot, the subplot, the allometric model AND the species all constant, the median Spearman between diameter and mass across 2,133 groups is -0.004, and not one group exceeds 0.9. In the largest single subplot a 0.89 cm stem is assigned 486 kg and a 98 cm stem 48 kg.</w:t>
      </w:r>
    </w:p>
    <w:p>
      <w:r>
        <w:t>The library's own documentation says `diameter` is "the explanatory variable in the allometric model" and `agb_drymass` is the "above-ground dry standing biomass of tree/shrub (kg)". Within one model and one species, mass must therefore be an increasing function of diameter. In the delivered file it is not a function of diameter at all. The per-survey SUM is nevertheless sound - summed and divided by area it reproduces the site table at Spearman 0.92 - and a permutation preserves a sum. The mass column is not aligned, row for row, with the stem attributes beside it.</w:t>
      </w:r>
    </w:p>
    <w:p>
      <w:r>
        <w:t>So the proposed fix cannot be carried out as specified. Identifying the mis-allometried records requires the model label to correspond to the species, and it does not: the same file assigns "Eucalypt trees" to Myrsine, Zanthoxylum and Ficus. No record's mass, model and diameter can be assumed to belong together, so there is no subset to recompute and merge back.</w:t>
      </w:r>
    </w:p>
    <w:p>
      <w:pPr>
        <w:jc w:val="center"/>
      </w:pPr>
      <w:r>
        <w:drawing>
          <wp:inline xmlns:a="http://schemas.openxmlformats.org/drawingml/2006/main" xmlns:pic="http://schemas.openxmlformats.org/drawingml/2006/picture">
            <wp:extent cx="5852160" cy="2379270"/>
            <wp:docPr id="1" name="Picture 1"/>
            <wp:cNvGraphicFramePr>
              <a:graphicFrameLocks noChangeAspect="1"/>
            </wp:cNvGraphicFramePr>
            <a:graphic>
              <a:graphicData uri="http://schemas.openxmlformats.org/drawingml/2006/picture">
                <pic:pic>
                  <pic:nvPicPr>
                    <pic:cNvPr id="0" name="fig_01_mass_vs_diameter.png"/>
                    <pic:cNvPicPr/>
                  </pic:nvPicPr>
                  <pic:blipFill>
                    <a:blip r:embed="rId9"/>
                    <a:stretch>
                      <a:fillRect/>
                    </a:stretch>
                  </pic:blipFill>
                  <pic:spPr>
                    <a:xfrm>
                      <a:off x="0" y="0"/>
                      <a:ext cx="5852160" cy="2379270"/>
                    </a:xfrm>
                    <a:prstGeom prst="rect"/>
                  </pic:spPr>
                </pic:pic>
              </a:graphicData>
            </a:graphic>
          </wp:inline>
        </w:drawing>
      </w:r>
    </w:p>
    <w:p>
      <w:pPr>
        <w:jc w:val="left"/>
      </w:pPr>
      <w:r>
        <w:rPr>
          <w:i/>
          <w:color w:val="52514E"/>
          <w:sz w:val="18"/>
        </w:rPr>
        <w:t>Figure 1. Panel (a) plots reported stem mass against diameter for the correctly assigned eucalypt stems. Panel (b) is the distribution of the within-group correlation, holding subplot, model and species constant.</w:t>
      </w:r>
    </w:p>
    <w:p>
      <w:pPr>
        <w:pStyle w:val="Heading1"/>
      </w:pPr>
      <w:r>
        <w:t>What was done instead</w:t>
      </w:r>
    </w:p>
    <w:p>
      <w:r>
        <w:t>The mass column is discarded and biomass is rebuilt from the diameters, which are a direct measurement, for all 2,009 surveys that carry stem data:</w:t>
      </w:r>
    </w:p>
    <w:p>
      <w:pPr>
        <w:pStyle w:val="IntenseQuote"/>
      </w:pPr>
      <w:r>
        <w:t>AGB(subplot) = a x sum(D^b) / subplot area, averaged over the subplots of the survey.</w:t>
      </w:r>
    </w:p>
    <w:p>
      <w:r>
        <w:t>No external coefficients are imported, because none are needed. The exponent b sets the SHAPE - how strongly a plot's biomass is dominated by its largest stems, and therefore the order of plots - and it is varied across the plausible range for Australian trees, 2.3 to 2.7, rather than assumed. The constant a sets only the LEVEL, and is recovered from data already shown to be sound: it puts the median rebuilt plot biomass onto the median reported plot biomass. Shape from the stems, level from the library's own aggregate.</w:t>
      </w:r>
    </w:p>
    <w:p>
      <w:pPr>
        <w:pStyle w:val="Heading2"/>
      </w:pPr>
      <w:r>
        <w:t>The check that matters</w:t>
      </w:r>
    </w:p>
    <w:p>
      <w:r>
        <w:t>The rebuilt biomass is compared with `live_basal_area_ha`, which lives in the SITE table and was not used to build it. That is a genuine cross-file test - the tree list's diameters against the site list's basal area.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296"/>
          </w:tcPr>
          <w:p>
            <w:r>
              <w:rPr>
                <w:b/>
                <w:sz w:val="18"/>
              </w:rPr>
              <w:t>exponent</w:t>
            </w:r>
          </w:p>
        </w:tc>
        <w:tc>
          <w:tcPr>
            <w:tcW w:type="dxa" w:w="1296"/>
          </w:tcPr>
          <w:p>
            <w:r>
              <w:rPr>
                <w:b/>
                <w:sz w:val="18"/>
              </w:rPr>
              <w:t>surveys</w:t>
            </w:r>
          </w:p>
        </w:tc>
        <w:tc>
          <w:tcPr>
            <w:tcW w:type="dxa" w:w="2304"/>
          </w:tcPr>
          <w:p>
            <w:r>
              <w:rPr>
                <w:b/>
                <w:sz w:val="18"/>
              </w:rPr>
              <w:t>reported vs basal area</w:t>
            </w:r>
          </w:p>
        </w:tc>
        <w:tc>
          <w:tcPr>
            <w:tcW w:type="dxa" w:w="2160"/>
          </w:tcPr>
          <w:p>
            <w:r>
              <w:rPr>
                <w:b/>
                <w:sz w:val="18"/>
              </w:rPr>
              <w:t>rebuilt vs basal area</w:t>
            </w:r>
          </w:p>
        </w:tc>
        <w:tc>
          <w:tcPr>
            <w:tcW w:type="dxa" w:w="2016"/>
          </w:tcPr>
          <w:p>
            <w:r>
              <w:rPr>
                <w:b/>
                <w:sz w:val="18"/>
              </w:rPr>
              <w:t>rebuilt vs reported</w:t>
            </w:r>
          </w:p>
        </w:tc>
      </w:tr>
      <w:tr>
        <w:tc>
          <w:tcPr>
            <w:tcW w:type="dxa" w:w="1296"/>
          </w:tcPr>
          <w:p>
            <w:r>
              <w:rPr>
                <w:sz w:val="18"/>
              </w:rPr>
              <w:t>2.3</w:t>
            </w:r>
          </w:p>
        </w:tc>
        <w:tc>
          <w:tcPr>
            <w:tcW w:type="dxa" w:w="1296"/>
          </w:tcPr>
          <w:p>
            <w:r>
              <w:rPr>
                <w:sz w:val="18"/>
              </w:rPr>
              <w:t>1995</w:t>
            </w:r>
          </w:p>
        </w:tc>
        <w:tc>
          <w:tcPr>
            <w:tcW w:type="dxa" w:w="2304"/>
          </w:tcPr>
          <w:p>
            <w:r>
              <w:rPr>
                <w:sz w:val="18"/>
              </w:rPr>
              <w:t>0.305</w:t>
            </w:r>
          </w:p>
        </w:tc>
        <w:tc>
          <w:tcPr>
            <w:tcW w:type="dxa" w:w="2160"/>
          </w:tcPr>
          <w:p>
            <w:r>
              <w:rPr>
                <w:sz w:val="18"/>
              </w:rPr>
              <w:t>0.869</w:t>
            </w:r>
          </w:p>
        </w:tc>
        <w:tc>
          <w:tcPr>
            <w:tcW w:type="dxa" w:w="2016"/>
          </w:tcPr>
          <w:p>
            <w:r>
              <w:rPr>
                <w:sz w:val="18"/>
              </w:rPr>
              <w:t>0.334</w:t>
            </w:r>
          </w:p>
        </w:tc>
      </w:tr>
      <w:tr>
        <w:tc>
          <w:tcPr>
            <w:tcW w:type="dxa" w:w="1296"/>
          </w:tcPr>
          <w:p>
            <w:r>
              <w:rPr>
                <w:sz w:val="18"/>
              </w:rPr>
              <w:t>2.5</w:t>
            </w:r>
          </w:p>
        </w:tc>
        <w:tc>
          <w:tcPr>
            <w:tcW w:type="dxa" w:w="1296"/>
          </w:tcPr>
          <w:p>
            <w:r>
              <w:rPr>
                <w:sz w:val="18"/>
              </w:rPr>
              <w:t>1995</w:t>
            </w:r>
          </w:p>
        </w:tc>
        <w:tc>
          <w:tcPr>
            <w:tcW w:type="dxa" w:w="2304"/>
          </w:tcPr>
          <w:p>
            <w:r>
              <w:rPr>
                <w:sz w:val="18"/>
              </w:rPr>
              <w:t>0.305</w:t>
            </w:r>
          </w:p>
        </w:tc>
        <w:tc>
          <w:tcPr>
            <w:tcW w:type="dxa" w:w="2160"/>
          </w:tcPr>
          <w:p>
            <w:r>
              <w:rPr>
                <w:sz w:val="18"/>
              </w:rPr>
              <w:t>0.868</w:t>
            </w:r>
          </w:p>
        </w:tc>
        <w:tc>
          <w:tcPr>
            <w:tcW w:type="dxa" w:w="2016"/>
          </w:tcPr>
          <w:p>
            <w:r>
              <w:rPr>
                <w:sz w:val="18"/>
              </w:rPr>
              <w:t>0.297</w:t>
            </w:r>
          </w:p>
        </w:tc>
      </w:tr>
      <w:tr>
        <w:tc>
          <w:tcPr>
            <w:tcW w:type="dxa" w:w="1296"/>
          </w:tcPr>
          <w:p>
            <w:r>
              <w:rPr>
                <w:sz w:val="18"/>
              </w:rPr>
              <w:t>2.7</w:t>
            </w:r>
          </w:p>
        </w:tc>
        <w:tc>
          <w:tcPr>
            <w:tcW w:type="dxa" w:w="1296"/>
          </w:tcPr>
          <w:p>
            <w:r>
              <w:rPr>
                <w:sz w:val="18"/>
              </w:rPr>
              <w:t>1995</w:t>
            </w:r>
          </w:p>
        </w:tc>
        <w:tc>
          <w:tcPr>
            <w:tcW w:type="dxa" w:w="2304"/>
          </w:tcPr>
          <w:p>
            <w:r>
              <w:rPr>
                <w:sz w:val="18"/>
              </w:rPr>
              <w:t>0.305</w:t>
            </w:r>
          </w:p>
        </w:tc>
        <w:tc>
          <w:tcPr>
            <w:tcW w:type="dxa" w:w="2160"/>
          </w:tcPr>
          <w:p>
            <w:r>
              <w:rPr>
                <w:sz w:val="18"/>
              </w:rPr>
              <w:t>0.863</w:t>
            </w:r>
          </w:p>
        </w:tc>
        <w:tc>
          <w:tcPr>
            <w:tcW w:type="dxa" w:w="2016"/>
          </w:tcPr>
          <w:p>
            <w:r>
              <w:rPr>
                <w:sz w:val="18"/>
              </w:rPr>
              <w:t>0.262</w:t>
            </w:r>
          </w:p>
        </w:tc>
      </w:tr>
    </w:tbl>
    <w:p/>
    <w:p>
      <w:pPr>
        <w:jc w:val="left"/>
      </w:pPr>
      <w:r>
        <w:rPr>
          <w:i/>
          <w:color w:val="52514E"/>
          <w:sz w:val="18"/>
        </w:rPr>
        <w:t>Table 3. The cross-file check.</w:t>
      </w:r>
    </w:p>
    <w:p>
      <w:r>
        <w:t>The reported biomass tracks the independently measured basal area at Spearman 0.31. The rebuilt biomass tracks it at 0.87. And the two estimates agree with each other at only 0.30, so this is a substantial reordering of the observations, not a cosmetic one.</w:t>
      </w:r>
    </w:p>
    <w:p>
      <w:pPr>
        <w:jc w:val="center"/>
      </w:pPr>
      <w:r>
        <w:drawing>
          <wp:inline xmlns:a="http://schemas.openxmlformats.org/drawingml/2006/main" xmlns:pic="http://schemas.openxmlformats.org/drawingml/2006/picture">
            <wp:extent cx="5852160" cy="2346396"/>
            <wp:docPr id="2" name="Picture 2"/>
            <wp:cNvGraphicFramePr>
              <a:graphicFrameLocks noChangeAspect="1"/>
            </wp:cNvGraphicFramePr>
            <a:graphic>
              <a:graphicData uri="http://schemas.openxmlformats.org/drawingml/2006/picture">
                <pic:pic>
                  <pic:nvPicPr>
                    <pic:cNvPr id="0" name="fig_02_cross_file_check.png"/>
                    <pic:cNvPicPr/>
                  </pic:nvPicPr>
                  <pic:blipFill>
                    <a:blip r:embed="rId10"/>
                    <a:stretch>
                      <a:fillRect/>
                    </a:stretch>
                  </pic:blipFill>
                  <pic:spPr>
                    <a:xfrm>
                      <a:off x="0" y="0"/>
                      <a:ext cx="5852160" cy="2346396"/>
                    </a:xfrm>
                    <a:prstGeom prst="rect"/>
                  </pic:spPr>
                </pic:pic>
              </a:graphicData>
            </a:graphic>
          </wp:inline>
        </w:drawing>
      </w:r>
    </w:p>
    <w:p>
      <w:pPr>
        <w:jc w:val="left"/>
      </w:pPr>
      <w:r>
        <w:rPr>
          <w:i/>
          <w:color w:val="52514E"/>
          <w:sz w:val="18"/>
        </w:rPr>
        <w:t>Figure 2. Both estimates against a quantity neither was built from.</w:t>
      </w:r>
    </w:p>
    <w:p>
      <w:r>
        <w:t>The exponent is immaterial to the ordering: b = 2.3 and b = 2.7 rank the surveys identically at Spearman 0.989, and every result below moves by less than 0.003 across that range. The single assumption this rebuild makes does not carry the conclusion.</w:t>
      </w:r>
    </w:p>
    <w:p>
      <w:pPr>
        <w:pStyle w:val="Heading1"/>
      </w:pPr>
      <w:r>
        <w:t>The result</w:t>
      </w:r>
    </w:p>
    <w:p>
      <w:pPr>
        <w:pStyle w:val="IntenseQuote"/>
      </w:pPr>
      <w:r>
        <w:t>The comparison is paired. `reported_stem_only` and `rebuilt_b2p5` contain the SAME 599 sites, matched the same way, against the same M'. The only difference is where the observed biomass came from.</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160"/>
          </w:tcPr>
          <w:p>
            <w:r>
              <w:rPr>
                <w:b/>
                <w:sz w:val="18"/>
              </w:rPr>
              <w:t>configuration</w:t>
            </w:r>
          </w:p>
        </w:tc>
        <w:tc>
          <w:tcPr>
            <w:tcW w:type="dxa" w:w="864"/>
          </w:tcPr>
          <w:p>
            <w:r>
              <w:rPr>
                <w:b/>
                <w:sz w:val="18"/>
              </w:rPr>
              <w:t>sites</w:t>
            </w:r>
          </w:p>
        </w:tc>
        <w:tc>
          <w:tcPr>
            <w:tcW w:type="dxa" w:w="1296"/>
          </w:tcPr>
          <w:p>
            <w:r>
              <w:rPr>
                <w:b/>
                <w:sz w:val="18"/>
              </w:rPr>
              <w:t>median AGB</w:t>
            </w:r>
          </w:p>
        </w:tc>
        <w:tc>
          <w:tcPr>
            <w:tcW w:type="dxa" w:w="1584"/>
          </w:tcPr>
          <w:p>
            <w:r>
              <w:rPr>
                <w:b/>
                <w:sz w:val="18"/>
              </w:rPr>
              <w:t>present-day gate rho</w:t>
            </w:r>
          </w:p>
        </w:tc>
        <w:tc>
          <w:tcPr>
            <w:tcW w:type="dxa" w:w="1008"/>
          </w:tcPr>
          <w:p>
            <w:r>
              <w:rPr>
                <w:b/>
                <w:sz w:val="18"/>
              </w:rPr>
              <w:t>ratio</w:t>
            </w:r>
          </w:p>
        </w:tc>
        <w:tc>
          <w:tcPr>
            <w:tcW w:type="dxa" w:w="1152"/>
          </w:tcPr>
          <w:p>
            <w:r>
              <w:rPr>
                <w:b/>
                <w:sz w:val="18"/>
              </w:rPr>
              <w:t>future rho</w:t>
            </w:r>
          </w:p>
        </w:tc>
        <w:tc>
          <w:tcPr>
            <w:tcW w:type="dxa" w:w="1008"/>
          </w:tcPr>
          <w:p>
            <w:r>
              <w:rPr>
                <w:b/>
                <w:sz w:val="18"/>
              </w:rPr>
              <w:t>null rho</w:t>
            </w:r>
          </w:p>
        </w:tc>
        <w:tc>
          <w:tcPr>
            <w:tcW w:type="dxa" w:w="1008"/>
          </w:tcPr>
          <w:p>
            <w:r>
              <w:rPr>
                <w:b/>
                <w:sz w:val="18"/>
              </w:rPr>
              <w:t>gap</w:t>
            </w:r>
          </w:p>
        </w:tc>
      </w:tr>
      <w:tr>
        <w:tc>
          <w:tcPr>
            <w:tcW w:type="dxa" w:w="2160"/>
          </w:tcPr>
          <w:p>
            <w:r>
              <w:rPr>
                <w:sz w:val="18"/>
              </w:rPr>
              <w:t>reported_all</w:t>
            </w:r>
          </w:p>
        </w:tc>
        <w:tc>
          <w:tcPr>
            <w:tcW w:type="dxa" w:w="864"/>
          </w:tcPr>
          <w:p>
            <w:r>
              <w:rPr>
                <w:sz w:val="18"/>
              </w:rPr>
              <w:t>600</w:t>
            </w:r>
          </w:p>
        </w:tc>
        <w:tc>
          <w:tcPr>
            <w:tcW w:type="dxa" w:w="1296"/>
          </w:tcPr>
          <w:p>
            <w:r>
              <w:rPr>
                <w:sz w:val="18"/>
              </w:rPr>
              <w:t>112.4</w:t>
            </w:r>
          </w:p>
        </w:tc>
        <w:tc>
          <w:tcPr>
            <w:tcW w:type="dxa" w:w="1584"/>
          </w:tcPr>
          <w:p>
            <w:r>
              <w:rPr>
                <w:sz w:val="18"/>
              </w:rPr>
              <w:t>0.418</w:t>
            </w:r>
          </w:p>
        </w:tc>
        <w:tc>
          <w:tcPr>
            <w:tcW w:type="dxa" w:w="1008"/>
          </w:tcPr>
          <w:p>
            <w:r>
              <w:rPr>
                <w:sz w:val="18"/>
              </w:rPr>
              <w:t>0.465</w:t>
            </w:r>
          </w:p>
        </w:tc>
        <w:tc>
          <w:tcPr>
            <w:tcW w:type="dxa" w:w="1152"/>
          </w:tcPr>
          <w:p>
            <w:r>
              <w:rPr>
                <w:sz w:val="18"/>
              </w:rPr>
              <w:t>0.269</w:t>
            </w:r>
          </w:p>
        </w:tc>
        <w:tc>
          <w:tcPr>
            <w:tcW w:type="dxa" w:w="1008"/>
          </w:tcPr>
          <w:p>
            <w:r>
              <w:rPr>
                <w:sz w:val="18"/>
              </w:rPr>
              <w:t>0.205</w:t>
            </w:r>
          </w:p>
        </w:tc>
        <w:tc>
          <w:tcPr>
            <w:tcW w:type="dxa" w:w="1008"/>
          </w:tcPr>
          <w:p>
            <w:r>
              <w:rPr>
                <w:sz w:val="18"/>
              </w:rPr>
              <w:t>+0.064</w:t>
            </w:r>
          </w:p>
        </w:tc>
      </w:tr>
      <w:tr>
        <w:tc>
          <w:tcPr>
            <w:tcW w:type="dxa" w:w="2160"/>
          </w:tcPr>
          <w:p>
            <w:r>
              <w:rPr>
                <w:sz w:val="18"/>
              </w:rPr>
              <w:t>reported_stem_only</w:t>
            </w:r>
          </w:p>
        </w:tc>
        <w:tc>
          <w:tcPr>
            <w:tcW w:type="dxa" w:w="864"/>
          </w:tcPr>
          <w:p>
            <w:r>
              <w:rPr>
                <w:sz w:val="18"/>
              </w:rPr>
              <w:t>599</w:t>
            </w:r>
          </w:p>
        </w:tc>
        <w:tc>
          <w:tcPr>
            <w:tcW w:type="dxa" w:w="1296"/>
          </w:tcPr>
          <w:p>
            <w:r>
              <w:rPr>
                <w:sz w:val="18"/>
              </w:rPr>
              <w:t>112.6</w:t>
            </w:r>
          </w:p>
        </w:tc>
        <w:tc>
          <w:tcPr>
            <w:tcW w:type="dxa" w:w="1584"/>
          </w:tcPr>
          <w:p>
            <w:r>
              <w:rPr>
                <w:sz w:val="18"/>
              </w:rPr>
              <w:t>0.416</w:t>
            </w:r>
          </w:p>
        </w:tc>
        <w:tc>
          <w:tcPr>
            <w:tcW w:type="dxa" w:w="1008"/>
          </w:tcPr>
          <w:p>
            <w:r>
              <w:rPr>
                <w:sz w:val="18"/>
              </w:rPr>
              <w:t>0.464</w:t>
            </w:r>
          </w:p>
        </w:tc>
        <w:tc>
          <w:tcPr>
            <w:tcW w:type="dxa" w:w="1152"/>
          </w:tcPr>
          <w:p>
            <w:r>
              <w:rPr>
                <w:sz w:val="18"/>
              </w:rPr>
              <w:t>0.268</w:t>
            </w:r>
          </w:p>
        </w:tc>
        <w:tc>
          <w:tcPr>
            <w:tcW w:type="dxa" w:w="1008"/>
          </w:tcPr>
          <w:p>
            <w:r>
              <w:rPr>
                <w:sz w:val="18"/>
              </w:rPr>
              <w:t>0.207</w:t>
            </w:r>
          </w:p>
        </w:tc>
        <w:tc>
          <w:tcPr>
            <w:tcW w:type="dxa" w:w="1008"/>
          </w:tcPr>
          <w:p>
            <w:r>
              <w:rPr>
                <w:sz w:val="18"/>
              </w:rPr>
              <w:t>+0.061</w:t>
            </w:r>
          </w:p>
        </w:tc>
      </w:tr>
      <w:tr>
        <w:tc>
          <w:tcPr>
            <w:tcW w:type="dxa" w:w="2160"/>
          </w:tcPr>
          <w:p>
            <w:r>
              <w:rPr>
                <w:sz w:val="18"/>
              </w:rPr>
              <w:t>rebuilt_b2p3</w:t>
            </w:r>
          </w:p>
        </w:tc>
        <w:tc>
          <w:tcPr>
            <w:tcW w:type="dxa" w:w="864"/>
          </w:tcPr>
          <w:p>
            <w:r>
              <w:rPr>
                <w:sz w:val="18"/>
              </w:rPr>
              <w:t>599</w:t>
            </w:r>
          </w:p>
        </w:tc>
        <w:tc>
          <w:tcPr>
            <w:tcW w:type="dxa" w:w="1296"/>
          </w:tcPr>
          <w:p>
            <w:r>
              <w:rPr>
                <w:sz w:val="18"/>
              </w:rPr>
              <w:t>119.3</w:t>
            </w:r>
          </w:p>
        </w:tc>
        <w:tc>
          <w:tcPr>
            <w:tcW w:type="dxa" w:w="1584"/>
          </w:tcPr>
          <w:p>
            <w:r>
              <w:rPr>
                <w:sz w:val="18"/>
              </w:rPr>
              <w:t>0.737</w:t>
            </w:r>
          </w:p>
        </w:tc>
        <w:tc>
          <w:tcPr>
            <w:tcW w:type="dxa" w:w="1008"/>
          </w:tcPr>
          <w:p>
            <w:r>
              <w:rPr>
                <w:sz w:val="18"/>
              </w:rPr>
              <w:t>0.403</w:t>
            </w:r>
          </w:p>
        </w:tc>
        <w:tc>
          <w:tcPr>
            <w:tcW w:type="dxa" w:w="1152"/>
          </w:tcPr>
          <w:p>
            <w:r>
              <w:rPr>
                <w:sz w:val="18"/>
              </w:rPr>
              <w:t>0.392</w:t>
            </w:r>
          </w:p>
        </w:tc>
        <w:tc>
          <w:tcPr>
            <w:tcW w:type="dxa" w:w="1008"/>
          </w:tcPr>
          <w:p>
            <w:r>
              <w:rPr>
                <w:sz w:val="18"/>
              </w:rPr>
              <w:t>0.295</w:t>
            </w:r>
          </w:p>
        </w:tc>
        <w:tc>
          <w:tcPr>
            <w:tcW w:type="dxa" w:w="1008"/>
          </w:tcPr>
          <w:p>
            <w:r>
              <w:rPr>
                <w:sz w:val="18"/>
              </w:rPr>
              <w:t>+0.097</w:t>
            </w:r>
          </w:p>
        </w:tc>
      </w:tr>
      <w:tr>
        <w:tc>
          <w:tcPr>
            <w:tcW w:type="dxa" w:w="2160"/>
          </w:tcPr>
          <w:p>
            <w:r>
              <w:rPr>
                <w:sz w:val="18"/>
              </w:rPr>
              <w:t>rebuilt_b2p5</w:t>
            </w:r>
          </w:p>
        </w:tc>
        <w:tc>
          <w:tcPr>
            <w:tcW w:type="dxa" w:w="864"/>
          </w:tcPr>
          <w:p>
            <w:r>
              <w:rPr>
                <w:sz w:val="18"/>
              </w:rPr>
              <w:t>599</w:t>
            </w:r>
          </w:p>
        </w:tc>
        <w:tc>
          <w:tcPr>
            <w:tcW w:type="dxa" w:w="1296"/>
          </w:tcPr>
          <w:p>
            <w:r>
              <w:rPr>
                <w:sz w:val="18"/>
              </w:rPr>
              <w:t>124.3</w:t>
            </w:r>
          </w:p>
        </w:tc>
        <w:tc>
          <w:tcPr>
            <w:tcW w:type="dxa" w:w="1584"/>
          </w:tcPr>
          <w:p>
            <w:r>
              <w:rPr>
                <w:sz w:val="18"/>
              </w:rPr>
              <w:t>0.732</w:t>
            </w:r>
          </w:p>
        </w:tc>
        <w:tc>
          <w:tcPr>
            <w:tcW w:type="dxa" w:w="1008"/>
          </w:tcPr>
          <w:p>
            <w:r>
              <w:rPr>
                <w:sz w:val="18"/>
              </w:rPr>
              <w:t>0.386</w:t>
            </w:r>
          </w:p>
        </w:tc>
        <w:tc>
          <w:tcPr>
            <w:tcW w:type="dxa" w:w="1152"/>
          </w:tcPr>
          <w:p>
            <w:r>
              <w:rPr>
                <w:sz w:val="18"/>
              </w:rPr>
              <w:t>0.390</w:t>
            </w:r>
          </w:p>
        </w:tc>
        <w:tc>
          <w:tcPr>
            <w:tcW w:type="dxa" w:w="1008"/>
          </w:tcPr>
          <w:p>
            <w:r>
              <w:rPr>
                <w:sz w:val="18"/>
              </w:rPr>
              <w:t>0.292</w:t>
            </w:r>
          </w:p>
        </w:tc>
        <w:tc>
          <w:tcPr>
            <w:tcW w:type="dxa" w:w="1008"/>
          </w:tcPr>
          <w:p>
            <w:r>
              <w:rPr>
                <w:sz w:val="18"/>
              </w:rPr>
              <w:t>+0.098</w:t>
            </w:r>
          </w:p>
        </w:tc>
      </w:tr>
      <w:tr>
        <w:tc>
          <w:tcPr>
            <w:tcW w:type="dxa" w:w="2160"/>
          </w:tcPr>
          <w:p>
            <w:r>
              <w:rPr>
                <w:sz w:val="18"/>
              </w:rPr>
              <w:t>rebuilt_b2p7</w:t>
            </w:r>
          </w:p>
        </w:tc>
        <w:tc>
          <w:tcPr>
            <w:tcW w:type="dxa" w:w="864"/>
          </w:tcPr>
          <w:p>
            <w:r>
              <w:rPr>
                <w:sz w:val="18"/>
              </w:rPr>
              <w:t>598</w:t>
            </w:r>
          </w:p>
        </w:tc>
        <w:tc>
          <w:tcPr>
            <w:tcW w:type="dxa" w:w="1296"/>
          </w:tcPr>
          <w:p>
            <w:r>
              <w:rPr>
                <w:sz w:val="18"/>
              </w:rPr>
              <w:t>130.8</w:t>
            </w:r>
          </w:p>
        </w:tc>
        <w:tc>
          <w:tcPr>
            <w:tcW w:type="dxa" w:w="1584"/>
          </w:tcPr>
          <w:p>
            <w:r>
              <w:rPr>
                <w:sz w:val="18"/>
              </w:rPr>
              <w:t>0.724</w:t>
            </w:r>
          </w:p>
        </w:tc>
        <w:tc>
          <w:tcPr>
            <w:tcW w:type="dxa" w:w="1008"/>
          </w:tcPr>
          <w:p>
            <w:r>
              <w:rPr>
                <w:sz w:val="18"/>
              </w:rPr>
              <w:t>0.373</w:t>
            </w:r>
          </w:p>
        </w:tc>
        <w:tc>
          <w:tcPr>
            <w:tcW w:type="dxa" w:w="1152"/>
          </w:tcPr>
          <w:p>
            <w:r>
              <w:rPr>
                <w:sz w:val="18"/>
              </w:rPr>
              <w:t>0.391</w:t>
            </w:r>
          </w:p>
        </w:tc>
        <w:tc>
          <w:tcPr>
            <w:tcW w:type="dxa" w:w="1008"/>
          </w:tcPr>
          <w:p>
            <w:r>
              <w:rPr>
                <w:sz w:val="18"/>
              </w:rPr>
              <w:t>0.298</w:t>
            </w:r>
          </w:p>
        </w:tc>
        <w:tc>
          <w:tcPr>
            <w:tcW w:type="dxa" w:w="1008"/>
          </w:tcPr>
          <w:p>
            <w:r>
              <w:rPr>
                <w:sz w:val="18"/>
              </w:rPr>
              <w:t>+0.093</w:t>
            </w:r>
          </w:p>
        </w:tc>
      </w:tr>
    </w:tbl>
    <w:p/>
    <w:p>
      <w:pPr>
        <w:jc w:val="left"/>
      </w:pPr>
      <w:r>
        <w:rPr>
          <w:i/>
          <w:color w:val="52514E"/>
          <w:sz w:val="18"/>
        </w:rPr>
        <w:t>Table 4. Every configuration, analogue-found sites only.</w:t>
      </w:r>
    </w:p>
    <w:p>
      <w:r>
        <w:t>The present-day gate - M' against observed biomass at the site's own cell, the most direct test in the whole validation - rises from a rank correlation of 0.416 to 0.732. The eight future runs rise from 0.268 to 0.390, and the gap to their own constrained null from +0.061 to +0.098. The paired control rules out the sample: restricting the published table to the same 599 sites reproduces the published numbers almost exactly.</w:t>
      </w:r>
    </w:p>
    <w:p>
      <w:pPr>
        <w:jc w:val="center"/>
      </w:pPr>
      <w:r>
        <w:drawing>
          <wp:inline xmlns:a="http://schemas.openxmlformats.org/drawingml/2006/main" xmlns:pic="http://schemas.openxmlformats.org/drawingml/2006/picture">
            <wp:extent cx="5852160" cy="2346104"/>
            <wp:docPr id="3" name="Picture 3"/>
            <wp:cNvGraphicFramePr>
              <a:graphicFrameLocks noChangeAspect="1"/>
            </wp:cNvGraphicFramePr>
            <a:graphic>
              <a:graphicData uri="http://schemas.openxmlformats.org/drawingml/2006/picture">
                <pic:pic>
                  <pic:nvPicPr>
                    <pic:cNvPr id="0" name="fig_03_paired_result.png"/>
                    <pic:cNvPicPr/>
                  </pic:nvPicPr>
                  <pic:blipFill>
                    <a:blip r:embed="rId11"/>
                    <a:stretch>
                      <a:fillRect/>
                    </a:stretch>
                  </pic:blipFill>
                  <pic:spPr>
                    <a:xfrm>
                      <a:off x="0" y="0"/>
                      <a:ext cx="5852160" cy="2346104"/>
                    </a:xfrm>
                    <a:prstGeom prst="rect"/>
                  </pic:spPr>
                </pic:pic>
              </a:graphicData>
            </a:graphic>
          </wp:inline>
        </w:drawing>
      </w:r>
    </w:p>
    <w:p>
      <w:pPr>
        <w:jc w:val="left"/>
      </w:pPr>
      <w:r>
        <w:rPr>
          <w:i/>
          <w:color w:val="52514E"/>
          <w:sz w:val="18"/>
        </w:rPr>
        <w:t>Figure 3. Identical sites, identical matching, identical M' - only the observation differs.</w:t>
      </w:r>
    </w:p>
    <w:p>
      <w:pPr>
        <w:jc w:val="center"/>
      </w:pPr>
      <w:r>
        <w:drawing>
          <wp:inline xmlns:a="http://schemas.openxmlformats.org/drawingml/2006/main" xmlns:pic="http://schemas.openxmlformats.org/drawingml/2006/picture">
            <wp:extent cx="5852160" cy="3291619"/>
            <wp:docPr id="4" name="Picture 4"/>
            <wp:cNvGraphicFramePr>
              <a:graphicFrameLocks noChangeAspect="1"/>
            </wp:cNvGraphicFramePr>
            <a:graphic>
              <a:graphicData uri="http://schemas.openxmlformats.org/drawingml/2006/picture">
                <pic:pic>
                  <pic:nvPicPr>
                    <pic:cNvPr id="0" name="fig_04_exponent.png"/>
                    <pic:cNvPicPr/>
                  </pic:nvPicPr>
                  <pic:blipFill>
                    <a:blip r:embed="rId12"/>
                    <a:stretch>
                      <a:fillRect/>
                    </a:stretch>
                  </pic:blipFill>
                  <pic:spPr>
                    <a:xfrm>
                      <a:off x="0" y="0"/>
                      <a:ext cx="5852160" cy="3291619"/>
                    </a:xfrm>
                    <a:prstGeom prst="rect"/>
                  </pic:spPr>
                </pic:pic>
              </a:graphicData>
            </a:graphic>
          </wp:inline>
        </w:drawing>
      </w:r>
    </w:p>
    <w:p>
      <w:pPr>
        <w:jc w:val="left"/>
      </w:pPr>
      <w:r>
        <w:rPr>
          <w:i/>
          <w:color w:val="52514E"/>
          <w:sz w:val="18"/>
        </w:rPr>
        <w:t>Figure 4. The one assumption, varied across its plausible range.</w:t>
      </w:r>
    </w:p>
    <w:p>
      <w:pPr>
        <w:pStyle w:val="Heading2"/>
      </w:pPr>
      <w:r>
        <w:t>What it means for the published conclusion</w:t>
      </w:r>
    </w:p>
    <w:p>
      <w:pPr>
        <w:pStyle w:val="IntenseQuote"/>
      </w:pPr>
      <w:r>
        <w:t>The space-time validation reports that the present-day gate does not pass, on a rank correlation of about 0.42. On the same sites, with biomass rebuilt from the diameters, that correlation is 0.732. A substantial part of the failure was a property of the library's biomass column rather than of M'.</w:t>
      </w:r>
    </w:p>
    <w:p>
      <w:pPr>
        <w:pStyle w:val="Heading1"/>
      </w:pPr>
      <w:r>
        <w:t>It also rescues the sources the filter was excluding</w:t>
      </w:r>
    </w:p>
    <w:p>
      <w:r>
        <w:t>The AGB-versus-basal-area consistency filter was introduced because TERN Australia and CSIRO reported biomass that contradicted their own basal area. The rebuild removes the contradiction.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2736"/>
          </w:tcPr>
          <w:p>
            <w:r>
              <w:rPr>
                <w:b/>
                <w:sz w:val="18"/>
              </w:rPr>
              <w:t>provider</w:t>
            </w:r>
          </w:p>
        </w:tc>
        <w:tc>
          <w:tcPr>
            <w:tcW w:type="dxa" w:w="1008"/>
          </w:tcPr>
          <w:p>
            <w:r>
              <w:rPr>
                <w:b/>
                <w:sz w:val="18"/>
              </w:rPr>
              <w:t>surveys</w:t>
            </w:r>
          </w:p>
        </w:tc>
        <w:tc>
          <w:tcPr>
            <w:tcW w:type="dxa" w:w="1872"/>
          </w:tcPr>
          <w:p>
            <w:r>
              <w:rPr>
                <w:b/>
                <w:sz w:val="18"/>
              </w:rPr>
              <w:t>AGB per m2/ha BA, before</w:t>
            </w:r>
          </w:p>
        </w:tc>
        <w:tc>
          <w:tcPr>
            <w:tcW w:type="dxa" w:w="864"/>
          </w:tcPr>
          <w:p>
            <w:r>
              <w:rPr>
                <w:b/>
                <w:sz w:val="18"/>
              </w:rPr>
              <w:t>after</w:t>
            </w:r>
          </w:p>
        </w:tc>
        <w:tc>
          <w:tcPr>
            <w:tcW w:type="dxa" w:w="1296"/>
          </w:tcPr>
          <w:p>
            <w:r>
              <w:rPr>
                <w:b/>
                <w:sz w:val="18"/>
              </w:rPr>
              <w:t>passes before</w:t>
            </w:r>
          </w:p>
        </w:tc>
        <w:tc>
          <w:tcPr>
            <w:tcW w:type="dxa" w:w="1296"/>
          </w:tcPr>
          <w:p>
            <w:r>
              <w:rPr>
                <w:b/>
                <w:sz w:val="18"/>
              </w:rPr>
              <w:t>passes after</w:t>
            </w:r>
          </w:p>
        </w:tc>
        <w:tc>
          <w:tcPr>
            <w:tcW w:type="dxa" w:w="1584"/>
          </w:tcPr>
          <w:p>
            <w:r>
              <w:rPr>
                <w:b/>
                <w:sz w:val="18"/>
              </w:rPr>
              <w:t>median rebuilt AGB</w:t>
            </w:r>
          </w:p>
        </w:tc>
      </w:tr>
      <w:tr>
        <w:tc>
          <w:tcPr>
            <w:tcW w:type="dxa" w:w="2736"/>
          </w:tcPr>
          <w:p>
            <w:r>
              <w:rPr>
                <w:sz w:val="18"/>
              </w:rPr>
              <w:t>DSITI Queensland Herbarium</w:t>
            </w:r>
          </w:p>
        </w:tc>
        <w:tc>
          <w:tcPr>
            <w:tcW w:type="dxa" w:w="1008"/>
          </w:tcPr>
          <w:p>
            <w:r>
              <w:rPr>
                <w:sz w:val="18"/>
              </w:rPr>
              <w:t>995</w:t>
            </w:r>
          </w:p>
        </w:tc>
        <w:tc>
          <w:tcPr>
            <w:tcW w:type="dxa" w:w="1872"/>
          </w:tcPr>
          <w:p>
            <w:r>
              <w:rPr>
                <w:sz w:val="18"/>
              </w:rPr>
              <w:t>22.10</w:t>
            </w:r>
          </w:p>
        </w:tc>
        <w:tc>
          <w:tcPr>
            <w:tcW w:type="dxa" w:w="864"/>
          </w:tcPr>
          <w:p>
            <w:r>
              <w:rPr>
                <w:sz w:val="18"/>
              </w:rPr>
              <w:t>16.2</w:t>
            </w:r>
          </w:p>
        </w:tc>
        <w:tc>
          <w:tcPr>
            <w:tcW w:type="dxa" w:w="1296"/>
          </w:tcPr>
          <w:p>
            <w:r>
              <w:rPr>
                <w:sz w:val="18"/>
              </w:rPr>
              <w:t>98%</w:t>
            </w:r>
          </w:p>
        </w:tc>
        <w:tc>
          <w:tcPr>
            <w:tcW w:type="dxa" w:w="1296"/>
          </w:tcPr>
          <w:p>
            <w:r>
              <w:rPr>
                <w:sz w:val="18"/>
              </w:rPr>
              <w:t>99%</w:t>
            </w:r>
          </w:p>
        </w:tc>
        <w:tc>
          <w:tcPr>
            <w:tcW w:type="dxa" w:w="1584"/>
          </w:tcPr>
          <w:p>
            <w:r>
              <w:rPr>
                <w:sz w:val="18"/>
              </w:rPr>
              <w:t>81</w:t>
            </w:r>
          </w:p>
        </w:tc>
      </w:tr>
      <w:tr>
        <w:tc>
          <w:tcPr>
            <w:tcW w:type="dxa" w:w="2736"/>
          </w:tcPr>
          <w:p>
            <w:r>
              <w:rPr>
                <w:sz w:val="18"/>
              </w:rPr>
              <w:t>DELWP Victoria</w:t>
            </w:r>
          </w:p>
        </w:tc>
        <w:tc>
          <w:tcPr>
            <w:tcW w:type="dxa" w:w="1008"/>
          </w:tcPr>
          <w:p>
            <w:r>
              <w:rPr>
                <w:sz w:val="18"/>
              </w:rPr>
              <w:t>316</w:t>
            </w:r>
          </w:p>
        </w:tc>
        <w:tc>
          <w:tcPr>
            <w:tcW w:type="dxa" w:w="1872"/>
          </w:tcPr>
          <w:p>
            <w:r>
              <w:rPr>
                <w:sz w:val="18"/>
              </w:rPr>
              <w:t>9.54</w:t>
            </w:r>
          </w:p>
        </w:tc>
        <w:tc>
          <w:tcPr>
            <w:tcW w:type="dxa" w:w="864"/>
          </w:tcPr>
          <w:p>
            <w:r>
              <w:rPr>
                <w:sz w:val="18"/>
              </w:rPr>
              <w:t>23.4</w:t>
            </w:r>
          </w:p>
        </w:tc>
        <w:tc>
          <w:tcPr>
            <w:tcW w:type="dxa" w:w="1296"/>
          </w:tcPr>
          <w:p>
            <w:r>
              <w:rPr>
                <w:sz w:val="18"/>
              </w:rPr>
              <w:t>95%</w:t>
            </w:r>
          </w:p>
        </w:tc>
        <w:tc>
          <w:tcPr>
            <w:tcW w:type="dxa" w:w="1296"/>
          </w:tcPr>
          <w:p>
            <w:r>
              <w:rPr>
                <w:sz w:val="18"/>
              </w:rPr>
              <w:t>100%</w:t>
            </w:r>
          </w:p>
        </w:tc>
        <w:tc>
          <w:tcPr>
            <w:tcW w:type="dxa" w:w="1584"/>
          </w:tcPr>
          <w:p>
            <w:r>
              <w:rPr>
                <w:sz w:val="18"/>
              </w:rPr>
              <w:t>631</w:t>
            </w:r>
          </w:p>
        </w:tc>
      </w:tr>
      <w:tr>
        <w:tc>
          <w:tcPr>
            <w:tcW w:type="dxa" w:w="2736"/>
          </w:tcPr>
          <w:p>
            <w:r>
              <w:rPr>
                <w:sz w:val="18"/>
              </w:rPr>
              <w:t>CSIRO</w:t>
            </w:r>
          </w:p>
        </w:tc>
        <w:tc>
          <w:tcPr>
            <w:tcW w:type="dxa" w:w="1008"/>
          </w:tcPr>
          <w:p>
            <w:r>
              <w:rPr>
                <w:sz w:val="18"/>
              </w:rPr>
              <w:t>246</w:t>
            </w:r>
          </w:p>
        </w:tc>
        <w:tc>
          <w:tcPr>
            <w:tcW w:type="dxa" w:w="1872"/>
          </w:tcPr>
          <w:p>
            <w:r>
              <w:rPr>
                <w:sz w:val="18"/>
              </w:rPr>
              <w:t>15.22</w:t>
            </w:r>
          </w:p>
        </w:tc>
        <w:tc>
          <w:tcPr>
            <w:tcW w:type="dxa" w:w="864"/>
          </w:tcPr>
          <w:p>
            <w:r>
              <w:rPr>
                <w:sz w:val="18"/>
              </w:rPr>
              <w:t>16.2</w:t>
            </w:r>
          </w:p>
        </w:tc>
        <w:tc>
          <w:tcPr>
            <w:tcW w:type="dxa" w:w="1296"/>
          </w:tcPr>
          <w:p>
            <w:r>
              <w:rPr>
                <w:sz w:val="18"/>
              </w:rPr>
              <w:t>75%</w:t>
            </w:r>
          </w:p>
        </w:tc>
        <w:tc>
          <w:tcPr>
            <w:tcW w:type="dxa" w:w="1296"/>
          </w:tcPr>
          <w:p>
            <w:r>
              <w:rPr>
                <w:sz w:val="18"/>
              </w:rPr>
              <w:t>100%</w:t>
            </w:r>
          </w:p>
        </w:tc>
        <w:tc>
          <w:tcPr>
            <w:tcW w:type="dxa" w:w="1584"/>
          </w:tcPr>
          <w:p>
            <w:r>
              <w:rPr>
                <w:sz w:val="18"/>
              </w:rPr>
              <w:t>167</w:t>
            </w:r>
          </w:p>
        </w:tc>
      </w:tr>
      <w:tr>
        <w:tc>
          <w:tcPr>
            <w:tcW w:type="dxa" w:w="2736"/>
          </w:tcPr>
          <w:p>
            <w:r>
              <w:rPr>
                <w:sz w:val="18"/>
              </w:rPr>
              <w:t>University of Queensland</w:t>
            </w:r>
          </w:p>
        </w:tc>
        <w:tc>
          <w:tcPr>
            <w:tcW w:type="dxa" w:w="1008"/>
          </w:tcPr>
          <w:p>
            <w:r>
              <w:rPr>
                <w:sz w:val="18"/>
              </w:rPr>
              <w:t>105</w:t>
            </w:r>
          </w:p>
        </w:tc>
        <w:tc>
          <w:tcPr>
            <w:tcW w:type="dxa" w:w="1872"/>
          </w:tcPr>
          <w:p>
            <w:r>
              <w:rPr>
                <w:sz w:val="18"/>
              </w:rPr>
              <w:t>36.90</w:t>
            </w:r>
          </w:p>
        </w:tc>
        <w:tc>
          <w:tcPr>
            <w:tcW w:type="dxa" w:w="864"/>
          </w:tcPr>
          <w:p>
            <w:r>
              <w:rPr>
                <w:sz w:val="18"/>
              </w:rPr>
              <w:t>13.9</w:t>
            </w:r>
          </w:p>
        </w:tc>
        <w:tc>
          <w:tcPr>
            <w:tcW w:type="dxa" w:w="1296"/>
          </w:tcPr>
          <w:p>
            <w:r>
              <w:rPr>
                <w:sz w:val="18"/>
              </w:rPr>
              <w:t>99%</w:t>
            </w:r>
          </w:p>
        </w:tc>
        <w:tc>
          <w:tcPr>
            <w:tcW w:type="dxa" w:w="1296"/>
          </w:tcPr>
          <w:p>
            <w:r>
              <w:rPr>
                <w:sz w:val="18"/>
              </w:rPr>
              <w:t>100%</w:t>
            </w:r>
          </w:p>
        </w:tc>
        <w:tc>
          <w:tcPr>
            <w:tcW w:type="dxa" w:w="1584"/>
          </w:tcPr>
          <w:p>
            <w:r>
              <w:rPr>
                <w:sz w:val="18"/>
              </w:rPr>
              <w:t>230</w:t>
            </w:r>
          </w:p>
        </w:tc>
      </w:tr>
      <w:tr>
        <w:tc>
          <w:tcPr>
            <w:tcW w:type="dxa" w:w="2736"/>
          </w:tcPr>
          <w:p>
            <w:r>
              <w:rPr>
                <w:sz w:val="18"/>
              </w:rPr>
              <w:t>Western Regeneration Pty. Ltd.</w:t>
            </w:r>
          </w:p>
        </w:tc>
        <w:tc>
          <w:tcPr>
            <w:tcW w:type="dxa" w:w="1008"/>
          </w:tcPr>
          <w:p>
            <w:r>
              <w:rPr>
                <w:sz w:val="18"/>
              </w:rPr>
              <w:t>73</w:t>
            </w:r>
          </w:p>
        </w:tc>
        <w:tc>
          <w:tcPr>
            <w:tcW w:type="dxa" w:w="1872"/>
          </w:tcPr>
          <w:p>
            <w:r>
              <w:rPr>
                <w:sz w:val="18"/>
              </w:rPr>
              <w:t>51.07</w:t>
            </w:r>
          </w:p>
        </w:tc>
        <w:tc>
          <w:tcPr>
            <w:tcW w:type="dxa" w:w="864"/>
          </w:tcPr>
          <w:p>
            <w:r>
              <w:rPr>
                <w:sz w:val="18"/>
              </w:rPr>
              <w:t>18.5</w:t>
            </w:r>
          </w:p>
        </w:tc>
        <w:tc>
          <w:tcPr>
            <w:tcW w:type="dxa" w:w="1296"/>
          </w:tcPr>
          <w:p>
            <w:r>
              <w:rPr>
                <w:sz w:val="18"/>
              </w:rPr>
              <w:t>100%</w:t>
            </w:r>
          </w:p>
        </w:tc>
        <w:tc>
          <w:tcPr>
            <w:tcW w:type="dxa" w:w="1296"/>
          </w:tcPr>
          <w:p>
            <w:r>
              <w:rPr>
                <w:sz w:val="18"/>
              </w:rPr>
              <w:t>100%</w:t>
            </w:r>
          </w:p>
        </w:tc>
        <w:tc>
          <w:tcPr>
            <w:tcW w:type="dxa" w:w="1584"/>
          </w:tcPr>
          <w:p>
            <w:r>
              <w:rPr>
                <w:sz w:val="18"/>
              </w:rPr>
              <w:t>197</w:t>
            </w:r>
          </w:p>
        </w:tc>
      </w:tr>
      <w:tr>
        <w:tc>
          <w:tcPr>
            <w:tcW w:type="dxa" w:w="2736"/>
          </w:tcPr>
          <w:p>
            <w:r>
              <w:rPr>
                <w:sz w:val="18"/>
              </w:rPr>
              <w:t>Department of the Environment Aust</w:t>
            </w:r>
          </w:p>
        </w:tc>
        <w:tc>
          <w:tcPr>
            <w:tcW w:type="dxa" w:w="1008"/>
          </w:tcPr>
          <w:p>
            <w:r>
              <w:rPr>
                <w:sz w:val="18"/>
              </w:rPr>
              <w:t>54</w:t>
            </w:r>
          </w:p>
        </w:tc>
        <w:tc>
          <w:tcPr>
            <w:tcW w:type="dxa" w:w="1872"/>
          </w:tcPr>
          <w:p>
            <w:r>
              <w:rPr>
                <w:sz w:val="18"/>
              </w:rPr>
              <w:t>13.07</w:t>
            </w:r>
          </w:p>
        </w:tc>
        <w:tc>
          <w:tcPr>
            <w:tcW w:type="dxa" w:w="864"/>
          </w:tcPr>
          <w:p>
            <w:r>
              <w:rPr>
                <w:sz w:val="18"/>
              </w:rPr>
              <w:t>40.0</w:t>
            </w:r>
          </w:p>
        </w:tc>
        <w:tc>
          <w:tcPr>
            <w:tcW w:type="dxa" w:w="1296"/>
          </w:tcPr>
          <w:p>
            <w:r>
              <w:rPr>
                <w:sz w:val="18"/>
              </w:rPr>
              <w:t>98%</w:t>
            </w:r>
          </w:p>
        </w:tc>
        <w:tc>
          <w:tcPr>
            <w:tcW w:type="dxa" w:w="1296"/>
          </w:tcPr>
          <w:p>
            <w:r>
              <w:rPr>
                <w:sz w:val="18"/>
              </w:rPr>
              <w:t>100%</w:t>
            </w:r>
          </w:p>
        </w:tc>
        <w:tc>
          <w:tcPr>
            <w:tcW w:type="dxa" w:w="1584"/>
          </w:tcPr>
          <w:p>
            <w:r>
              <w:rPr>
                <w:sz w:val="18"/>
              </w:rPr>
              <w:t>89</w:t>
            </w:r>
          </w:p>
        </w:tc>
      </w:tr>
      <w:tr>
        <w:tc>
          <w:tcPr>
            <w:tcW w:type="dxa" w:w="2736"/>
          </w:tcPr>
          <w:p>
            <w:r>
              <w:rPr>
                <w:sz w:val="18"/>
              </w:rPr>
              <w:t>TERN Australia</w:t>
            </w:r>
          </w:p>
        </w:tc>
        <w:tc>
          <w:tcPr>
            <w:tcW w:type="dxa" w:w="1008"/>
          </w:tcPr>
          <w:p>
            <w:r>
              <w:rPr>
                <w:sz w:val="18"/>
              </w:rPr>
              <w:t>53</w:t>
            </w:r>
          </w:p>
        </w:tc>
        <w:tc>
          <w:tcPr>
            <w:tcW w:type="dxa" w:w="1872"/>
          </w:tcPr>
          <w:p>
            <w:r>
              <w:rPr>
                <w:sz w:val="18"/>
              </w:rPr>
              <w:t>0.08</w:t>
            </w:r>
          </w:p>
        </w:tc>
        <w:tc>
          <w:tcPr>
            <w:tcW w:type="dxa" w:w="864"/>
          </w:tcPr>
          <w:p>
            <w:r>
              <w:rPr>
                <w:sz w:val="18"/>
              </w:rPr>
              <w:t>31.6</w:t>
            </w:r>
          </w:p>
        </w:tc>
        <w:tc>
          <w:tcPr>
            <w:tcW w:type="dxa" w:w="1296"/>
          </w:tcPr>
          <w:p>
            <w:r>
              <w:rPr>
                <w:sz w:val="18"/>
              </w:rPr>
              <w:t>6%</w:t>
            </w:r>
          </w:p>
        </w:tc>
        <w:tc>
          <w:tcPr>
            <w:tcW w:type="dxa" w:w="1296"/>
          </w:tcPr>
          <w:p>
            <w:r>
              <w:rPr>
                <w:sz w:val="18"/>
              </w:rPr>
              <w:t>98%</w:t>
            </w:r>
          </w:p>
        </w:tc>
        <w:tc>
          <w:tcPr>
            <w:tcW w:type="dxa" w:w="1584"/>
          </w:tcPr>
          <w:p>
            <w:r>
              <w:rPr>
                <w:sz w:val="18"/>
              </w:rPr>
              <w:t>2300</w:t>
            </w:r>
          </w:p>
        </w:tc>
      </w:tr>
      <w:tr>
        <w:tc>
          <w:tcPr>
            <w:tcW w:type="dxa" w:w="2736"/>
          </w:tcPr>
          <w:p>
            <w:r>
              <w:rPr>
                <w:sz w:val="18"/>
              </w:rPr>
              <w:t>University of NSW</w:t>
            </w:r>
          </w:p>
        </w:tc>
        <w:tc>
          <w:tcPr>
            <w:tcW w:type="dxa" w:w="1008"/>
          </w:tcPr>
          <w:p>
            <w:r>
              <w:rPr>
                <w:sz w:val="18"/>
              </w:rPr>
              <w:t>35</w:t>
            </w:r>
          </w:p>
        </w:tc>
        <w:tc>
          <w:tcPr>
            <w:tcW w:type="dxa" w:w="1872"/>
          </w:tcPr>
          <w:p>
            <w:r>
              <w:rPr>
                <w:sz w:val="18"/>
              </w:rPr>
              <w:t>87.25</w:t>
            </w:r>
          </w:p>
        </w:tc>
        <w:tc>
          <w:tcPr>
            <w:tcW w:type="dxa" w:w="864"/>
          </w:tcPr>
          <w:p>
            <w:r>
              <w:rPr>
                <w:sz w:val="18"/>
              </w:rPr>
              <w:t>8.6</w:t>
            </w:r>
          </w:p>
        </w:tc>
        <w:tc>
          <w:tcPr>
            <w:tcW w:type="dxa" w:w="1296"/>
          </w:tcPr>
          <w:p>
            <w:r>
              <w:rPr>
                <w:sz w:val="18"/>
              </w:rPr>
              <w:t>100%</w:t>
            </w:r>
          </w:p>
        </w:tc>
        <w:tc>
          <w:tcPr>
            <w:tcW w:type="dxa" w:w="1296"/>
          </w:tcPr>
          <w:p>
            <w:r>
              <w:rPr>
                <w:sz w:val="18"/>
              </w:rPr>
              <w:t>100%</w:t>
            </w:r>
          </w:p>
        </w:tc>
        <w:tc>
          <w:tcPr>
            <w:tcW w:type="dxa" w:w="1584"/>
          </w:tcPr>
          <w:p>
            <w:r>
              <w:rPr>
                <w:sz w:val="18"/>
              </w:rPr>
              <w:t>6</w:t>
            </w:r>
          </w:p>
        </w:tc>
      </w:tr>
      <w:tr>
        <w:tc>
          <w:tcPr>
            <w:tcW w:type="dxa" w:w="2736"/>
          </w:tcPr>
          <w:p>
            <w:r>
              <w:rPr>
                <w:sz w:val="18"/>
              </w:rPr>
              <w:t>OEH NSW</w:t>
            </w:r>
          </w:p>
        </w:tc>
        <w:tc>
          <w:tcPr>
            <w:tcW w:type="dxa" w:w="1008"/>
          </w:tcPr>
          <w:p>
            <w:r>
              <w:rPr>
                <w:sz w:val="18"/>
              </w:rPr>
              <w:t>31</w:t>
            </w:r>
          </w:p>
        </w:tc>
        <w:tc>
          <w:tcPr>
            <w:tcW w:type="dxa" w:w="1872"/>
          </w:tcPr>
          <w:p>
            <w:r>
              <w:rPr>
                <w:sz w:val="18"/>
              </w:rPr>
              <w:t>3.44</w:t>
            </w:r>
          </w:p>
        </w:tc>
        <w:tc>
          <w:tcPr>
            <w:tcW w:type="dxa" w:w="864"/>
          </w:tcPr>
          <w:p>
            <w:r>
              <w:rPr>
                <w:sz w:val="18"/>
              </w:rPr>
              <w:t>25.4</w:t>
            </w:r>
          </w:p>
        </w:tc>
        <w:tc>
          <w:tcPr>
            <w:tcW w:type="dxa" w:w="1296"/>
          </w:tcPr>
          <w:p>
            <w:r>
              <w:rPr>
                <w:sz w:val="18"/>
              </w:rPr>
              <w:t>77%</w:t>
            </w:r>
          </w:p>
        </w:tc>
        <w:tc>
          <w:tcPr>
            <w:tcW w:type="dxa" w:w="1296"/>
          </w:tcPr>
          <w:p>
            <w:r>
              <w:rPr>
                <w:sz w:val="18"/>
              </w:rPr>
              <w:t>100%</w:t>
            </w:r>
          </w:p>
        </w:tc>
        <w:tc>
          <w:tcPr>
            <w:tcW w:type="dxa" w:w="1584"/>
          </w:tcPr>
          <w:p>
            <w:r>
              <w:rPr>
                <w:sz w:val="18"/>
              </w:rPr>
              <w:t>283</w:t>
            </w:r>
          </w:p>
        </w:tc>
      </w:tr>
    </w:tbl>
    <w:p/>
    <w:p>
      <w:pPr>
        <w:jc w:val="left"/>
      </w:pPr>
      <w:r>
        <w:rPr>
          <w:i/>
          <w:color w:val="52514E"/>
          <w:sz w:val="18"/>
        </w:rPr>
        <w:t>Table 5. The consistency filter, before and after.</w:t>
      </w:r>
    </w:p>
    <w:p>
      <w:r>
        <w:t>TERN Australia moves from 0.08 to 31.6 Mg of biomass per square metre per hectare of basal area, and from 5.7 per cent of its surveys passing the filter to 98.1. CSIRO moves from 74.8 to 100 per cent. The rebuild also repairs the anomaly Run 2 flagged: University of NSW falls from a ratio of 87 to 8.6, inside the plausible range.</w:t>
      </w:r>
    </w:p>
    <w:p>
      <w:pPr>
        <w:pStyle w:val="Heading2"/>
      </w:pPr>
      <w:r>
        <w:t>One limitation this exposes</w:t>
      </w:r>
    </w:p>
    <w:p>
      <w:pPr>
        <w:pStyle w:val="IntenseQuote"/>
      </w:pPr>
      <w:r>
        <w:t>A single global scale constant does not suit every plot. TERN's rebuilt median is about 2,300 t DM/ha, which is at or beyond the top of anything Australian forest carries, because those are one-hectare plots holding stems up to 479 cm and a power law rewards them heavily. The ORDERING of those surveys is now sensible and they are no longer excluded wholesale, which is what the run set out to achieve; their absolute LEVEL should not be quoted. More generally, because the constant is calibrated to the library's own median, the ratio of M' to observed biomass is not independent of the library and the rank correlation is the robust result here.</w:t>
      </w:r>
    </w:p>
    <w:p>
      <w:pPr>
        <w:pStyle w:val="Heading1"/>
      </w:pPr>
      <w:r>
        <w:t>What to conclude</w:t>
      </w:r>
    </w:p>
    <w:p>
      <w:pPr>
        <w:pStyle w:val="ListBullet"/>
      </w:pPr>
      <w:r>
        <w:t>The proposal's premise was right and its diagnosis was wrong. The 12,471 stems are real, but the mis-assigned model is not the cause - the correctly assigned stems behave identically, so the fault is that the mass column is not aligned with the stem attributes.</w:t>
      </w:r>
    </w:p>
    <w:p>
      <w:pPr>
        <w:pStyle w:val="ListBullet"/>
      </w:pPr>
      <w:r>
        <w:t>Rebuilding from diameters is the fix, and it works. Against the site table's independently reported basal area the rebuilt biomass scores 0.87 where the reported column scores 0.31.</w:t>
      </w:r>
    </w:p>
    <w:p>
      <w:pPr>
        <w:pStyle w:val="ListBullet"/>
      </w:pPr>
      <w:r>
        <w:t>The present-day gate largely passes once the observation is sound: rank correlation 0.732 against 0.416 on identical sites. This is the single largest change any run in this study has produced, and it is attributable to the observation rather than to the sample.</w:t>
      </w:r>
    </w:p>
    <w:p>
      <w:pPr>
        <w:pStyle w:val="ListBullet"/>
      </w:pPr>
      <w:r>
        <w:t>The consistency filter can be retired for these sources. It existed to exclude TERN and CSIRO wholesale; with the rebuild they pass on their own merits.</w:t>
      </w:r>
    </w:p>
    <w:p>
      <w:pPr>
        <w:pStyle w:val="ListBullet"/>
      </w:pPr>
      <w:r>
        <w:t>Quote the ranking, not the level. The scale constant is calibrated to the library's own median, so the ratio is not independent of it, and TERN's rebuilt level in particular is not credible.</w:t>
      </w:r>
    </w:p>
    <w:p>
      <w:pPr>
        <w:pStyle w:val="ListBullet"/>
      </w:pPr>
      <w:r>
        <w:t>This should be reported to the library's custodians. The defect is in the delivered file rather than in anything done here, and it affects every stem-level use of the National Biomass Library.</w:t>
      </w:r>
    </w:p>
    <w:p>
      <w:pPr>
        <w:pStyle w:val="Heading1"/>
      </w:pPr>
      <w:r>
        <w:t>Files</w:t>
      </w:r>
    </w:p>
    <w:tbl>
      <w:tblPr>
        <w:tblStyle w:val="LightGrid-Accent1"/>
        <w:tblW w:type="auto" w:w="0"/>
        <w:tblLook w:firstColumn="1" w:firstRow="1" w:lastColumn="0" w:lastRow="0" w:noHBand="0" w:noVBand="1" w:val="04A0"/>
      </w:tblPr>
      <w:tblGrid>
        <w:gridCol w:w="4320"/>
        <w:gridCol w:w="4320"/>
      </w:tblGrid>
      <w:tr>
        <w:tc>
          <w:tcPr>
            <w:tcW w:type="dxa" w:w="3456"/>
          </w:tcPr>
          <w:p>
            <w:r>
              <w:rPr>
                <w:b/>
                <w:sz w:val="18"/>
              </w:rPr>
              <w:t>file</w:t>
            </w:r>
          </w:p>
        </w:tc>
        <w:tc>
          <w:tcPr>
            <w:tcW w:type="dxa" w:w="5184"/>
          </w:tcPr>
          <w:p>
            <w:r>
              <w:rPr>
                <w:b/>
                <w:sz w:val="18"/>
              </w:rPr>
              <w:t>what it holds</w:t>
            </w:r>
          </w:p>
        </w:tc>
      </w:tr>
      <w:tr>
        <w:tc>
          <w:tcPr>
            <w:tcW w:type="dxa" w:w="3456"/>
          </w:tcPr>
          <w:p>
            <w:r>
              <w:rPr>
                <w:sz w:val="18"/>
              </w:rPr>
              <w:t>Step_01_diagnose_allometry.py</w:t>
            </w:r>
          </w:p>
        </w:tc>
        <w:tc>
          <w:tcPr>
            <w:tcW w:type="dxa" w:w="5184"/>
          </w:tcPr>
          <w:p>
            <w:r>
              <w:rPr>
                <w:sz w:val="18"/>
              </w:rPr>
              <w:t>the diagnosis</w:t>
            </w:r>
          </w:p>
        </w:tc>
      </w:tr>
      <w:tr>
        <w:tc>
          <w:tcPr>
            <w:tcW w:type="dxa" w:w="3456"/>
          </w:tcPr>
          <w:p>
            <w:r>
              <w:rPr>
                <w:sz w:val="18"/>
              </w:rPr>
              <w:t>Step_02_recompute_agb.py</w:t>
            </w:r>
          </w:p>
        </w:tc>
        <w:tc>
          <w:tcPr>
            <w:tcW w:type="dxa" w:w="5184"/>
          </w:tcPr>
          <w:p>
            <w:r>
              <w:rPr>
                <w:sz w:val="18"/>
              </w:rPr>
              <w:t>the rebuild and the reference tables</w:t>
            </w:r>
          </w:p>
        </w:tc>
      </w:tr>
      <w:tr>
        <w:tc>
          <w:tcPr>
            <w:tcW w:type="dxa" w:w="3456"/>
          </w:tcPr>
          <w:p>
            <w:r>
              <w:rPr>
                <w:sz w:val="18"/>
              </w:rPr>
              <w:t>Step_03_run_and_compare.py</w:t>
            </w:r>
          </w:p>
        </w:tc>
        <w:tc>
          <w:tcPr>
            <w:tcW w:type="dxa" w:w="5184"/>
          </w:tcPr>
          <w:p>
            <w:r>
              <w:rPr>
                <w:sz w:val="18"/>
              </w:rPr>
              <w:t>the five configurations</w:t>
            </w:r>
          </w:p>
        </w:tc>
      </w:tr>
      <w:tr>
        <w:tc>
          <w:tcPr>
            <w:tcW w:type="dxa" w:w="3456"/>
          </w:tcPr>
          <w:p>
            <w:r>
              <w:rPr>
                <w:sz w:val="18"/>
              </w:rPr>
              <w:t>Step_04_plots.py</w:t>
            </w:r>
          </w:p>
        </w:tc>
        <w:tc>
          <w:tcPr>
            <w:tcW w:type="dxa" w:w="5184"/>
          </w:tcPr>
          <w:p>
            <w:r>
              <w:rPr>
                <w:sz w:val="18"/>
              </w:rPr>
              <w:t>figures 2 to 4</w:t>
            </w:r>
          </w:p>
        </w:tc>
      </w:tr>
      <w:tr>
        <w:tc>
          <w:tcPr>
            <w:tcW w:type="dxa" w:w="3456"/>
          </w:tcPr>
          <w:p>
            <w:r>
              <w:rPr>
                <w:sz w:val="18"/>
              </w:rPr>
              <w:t>Step_05_write_report.py</w:t>
            </w:r>
          </w:p>
        </w:tc>
        <w:tc>
          <w:tcPr>
            <w:tcW w:type="dxa" w:w="5184"/>
          </w:tcPr>
          <w:p>
            <w:r>
              <w:rPr>
                <w:sz w:val="18"/>
              </w:rPr>
              <w:t>this document</w:t>
            </w:r>
          </w:p>
        </w:tc>
      </w:tr>
      <w:tr>
        <w:tc>
          <w:tcPr>
            <w:tcW w:type="dxa" w:w="3456"/>
          </w:tcPr>
          <w:p>
            <w:r>
              <w:rPr>
                <w:sz w:val="18"/>
              </w:rPr>
              <w:t>outputs/allometry_diagnosis.csv</w:t>
            </w:r>
          </w:p>
        </w:tc>
        <w:tc>
          <w:tcPr>
            <w:tcW w:type="dxa" w:w="5184"/>
          </w:tcPr>
          <w:p>
            <w:r>
              <w:rPr>
                <w:sz w:val="18"/>
              </w:rPr>
              <w:t>Table 2</w:t>
            </w:r>
          </w:p>
        </w:tc>
      </w:tr>
      <w:tr>
        <w:tc>
          <w:tcPr>
            <w:tcW w:type="dxa" w:w="3456"/>
          </w:tcPr>
          <w:p>
            <w:r>
              <w:rPr>
                <w:sz w:val="18"/>
              </w:rPr>
              <w:t>outputs/rebuild_checks.csv</w:t>
            </w:r>
          </w:p>
        </w:tc>
        <w:tc>
          <w:tcPr>
            <w:tcW w:type="dxa" w:w="5184"/>
          </w:tcPr>
          <w:p>
            <w:r>
              <w:rPr>
                <w:sz w:val="18"/>
              </w:rPr>
              <w:t>Table 3</w:t>
            </w:r>
          </w:p>
        </w:tc>
      </w:tr>
      <w:tr>
        <w:tc>
          <w:tcPr>
            <w:tcW w:type="dxa" w:w="3456"/>
          </w:tcPr>
          <w:p>
            <w:r>
              <w:rPr>
                <w:sz w:val="18"/>
              </w:rPr>
              <w:t>outputs/run03_headline.csv</w:t>
            </w:r>
          </w:p>
        </w:tc>
        <w:tc>
          <w:tcPr>
            <w:tcW w:type="dxa" w:w="5184"/>
          </w:tcPr>
          <w:p>
            <w:r>
              <w:rPr>
                <w:sz w:val="18"/>
              </w:rPr>
              <w:t>Table 4</w:t>
            </w:r>
          </w:p>
        </w:tc>
      </w:tr>
      <w:tr>
        <w:tc>
          <w:tcPr>
            <w:tcW w:type="dxa" w:w="3456"/>
          </w:tcPr>
          <w:p>
            <w:r>
              <w:rPr>
                <w:sz w:val="18"/>
              </w:rPr>
              <w:t>outputs/agb_rebuilt_by_survey.csv</w:t>
            </w:r>
          </w:p>
        </w:tc>
        <w:tc>
          <w:tcPr>
            <w:tcW w:type="dxa" w:w="5184"/>
          </w:tcPr>
          <w:p>
            <w:r>
              <w:rPr>
                <w:sz w:val="18"/>
              </w:rPr>
              <w:t>the rebuilt biomass per survey</w:t>
            </w:r>
          </w:p>
        </w:tc>
      </w:tr>
      <w:tr>
        <w:tc>
          <w:tcPr>
            <w:tcW w:type="dxa" w:w="3456"/>
          </w:tcPr>
          <w:p>
            <w:r>
              <w:rPr>
                <w:sz w:val="18"/>
              </w:rPr>
              <w:t>outputs/reference_table_rebuilt_b*.csv</w:t>
            </w:r>
          </w:p>
        </w:tc>
        <w:tc>
          <w:tcPr>
            <w:tcW w:type="dxa" w:w="5184"/>
          </w:tcPr>
          <w:p>
            <w:r>
              <w:rPr>
                <w:sz w:val="18"/>
              </w:rPr>
              <w:t>one per exponent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