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 2 - a plot-area floor instead of the maturity filter</w:t>
      </w:r>
    </w:p>
    <w:p>
      <w:r>
        <w:rPr>
          <w:color w:val="52514E"/>
          <w:sz w:val="18"/>
        </w:rPr>
        <w:t>Space_time_validation/New_proposal/Plot_area_floor_method · generated 2026-09-23 · six floors, against Run 0 and Run 1</w:t>
      </w:r>
    </w:p>
    <w:p>
      <w:pPr>
        <w:pStyle w:val="Heading1"/>
      </w:pPr>
      <w:r>
        <w:t>Why this run follows from Run 1</w:t>
      </w:r>
    </w:p>
    <w:p>
      <w:r>
        <w:t>Run 1 removed the likely-mature half and the result improved. But the diagnostic that motivated it found the mechanism, and the mechanism was not maturity. The two classes carried almost the same observed biomass - 117.5 against 109.8 Mg/ha - while the likely-mature group reported 17.4 Mg of biomass per square metre per hectare of its own live basal area against 7.3, from plots 40 per cent smaller. A per-hectare figure from a smaller plot is the same few trees divided by less ground. That group is not less mature; it is more inflated.</w:t>
      </w:r>
    </w:p>
    <w:p>
      <w:pPr>
        <w:pStyle w:val="IntenseQuote"/>
      </w:pPr>
      <w:r>
        <w:t>If that is right, the maturity threshold is a proxy and filtering on the thing itself should do better. It should also be cheaper: the maturity filter discards every site with no stem data at all - 1,088 of 1,688 - whether or not those sites are well measured. A plot-area floor keeps them.</w:t>
      </w:r>
    </w:p>
    <w:p>
      <w:r>
        <w:t>Everything else is held at Run 0: NVIS-constrained matching, Eq. (1) of the window-mean FPI, all 174 predictors, PCA to 95 per cent of the historical variance, the 99th percentile no-analogue cutoff. Both nulls are computed in every configuration and every metric comes from the analogue-found stratum, as in every run of this study.</w:t>
      </w:r>
    </w:p>
    <w:p>
      <w:pPr>
        <w:pStyle w:val="Heading1"/>
      </w:pPr>
      <w:r>
        <w:t>The floor does remove the inflation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304"/>
          </w:tcPr>
          <w:p>
            <w:r>
              <w:rPr>
                <w:b/>
                <w:sz w:val="18"/>
              </w:rPr>
              <w:t>floor</w:t>
            </w:r>
          </w:p>
        </w:tc>
        <w:tc>
          <w:tcPr>
            <w:tcW w:type="dxa" w:w="1152"/>
          </w:tcPr>
          <w:p>
            <w:r>
              <w:rPr>
                <w:b/>
                <w:sz w:val="18"/>
              </w:rPr>
              <w:t>sites</w:t>
            </w:r>
          </w:p>
        </w:tc>
        <w:tc>
          <w:tcPr>
            <w:tcW w:type="dxa" w:w="1872"/>
          </w:tcPr>
          <w:p>
            <w:r>
              <w:rPr>
                <w:b/>
                <w:sz w:val="18"/>
              </w:rPr>
              <w:t>median plot (ha)</w:t>
            </w:r>
          </w:p>
        </w:tc>
        <w:tc>
          <w:tcPr>
            <w:tcW w:type="dxa" w:w="2880"/>
          </w:tcPr>
          <w:p>
            <w:r>
              <w:rPr>
                <w:b/>
                <w:sz w:val="18"/>
              </w:rPr>
              <w:t>median AGB per m2/ha basal area</w:t>
            </w:r>
          </w:p>
        </w:tc>
      </w:tr>
      <w:tr>
        <w:tc>
          <w:tcPr>
            <w:tcW w:type="dxa" w:w="2304"/>
          </w:tcPr>
          <w:p>
            <w:r>
              <w:rPr>
                <w:sz w:val="18"/>
              </w:rPr>
              <w:t>none (Run 0, mature)</w:t>
            </w:r>
          </w:p>
        </w:tc>
        <w:tc>
          <w:tcPr>
            <w:tcW w:type="dxa" w:w="1152"/>
          </w:tcPr>
          <w:p>
            <w:r>
              <w:rPr>
                <w:sz w:val="18"/>
              </w:rPr>
              <w:t>600</w:t>
            </w:r>
          </w:p>
        </w:tc>
        <w:tc>
          <w:tcPr>
            <w:tcW w:type="dxa" w:w="1872"/>
          </w:tcPr>
          <w:p>
            <w:r>
              <w:rPr>
                <w:sz w:val="18"/>
              </w:rPr>
              <w:t>0.24</w:t>
            </w:r>
          </w:p>
        </w:tc>
        <w:tc>
          <w:tcPr>
            <w:tcW w:type="dxa" w:w="2880"/>
          </w:tcPr>
          <w:p>
            <w:r>
              <w:rPr>
                <w:sz w:val="18"/>
              </w:rPr>
              <w:t>10.2</w:t>
            </w:r>
          </w:p>
        </w:tc>
      </w:tr>
      <w:tr>
        <w:tc>
          <w:tcPr>
            <w:tcW w:type="dxa" w:w="2304"/>
          </w:tcPr>
          <w:p>
            <w:r>
              <w:rPr>
                <w:sz w:val="18"/>
              </w:rPr>
              <w:t>0.10 ha</w:t>
            </w:r>
          </w:p>
        </w:tc>
        <w:tc>
          <w:tcPr>
            <w:tcW w:type="dxa" w:w="1152"/>
          </w:tcPr>
          <w:p>
            <w:r>
              <w:rPr>
                <w:sz w:val="18"/>
              </w:rPr>
              <w:t>1326</w:t>
            </w:r>
          </w:p>
        </w:tc>
        <w:tc>
          <w:tcPr>
            <w:tcW w:type="dxa" w:w="1872"/>
          </w:tcPr>
          <w:p>
            <w:r>
              <w:rPr>
                <w:sz w:val="18"/>
              </w:rPr>
              <w:t>0.25</w:t>
            </w:r>
          </w:p>
        </w:tc>
        <w:tc>
          <w:tcPr>
            <w:tcW w:type="dxa" w:w="2880"/>
          </w:tcPr>
          <w:p>
            <w:r>
              <w:rPr>
                <w:sz w:val="18"/>
              </w:rPr>
              <w:t>7.1</w:t>
            </w:r>
          </w:p>
        </w:tc>
      </w:tr>
      <w:tr>
        <w:tc>
          <w:tcPr>
            <w:tcW w:type="dxa" w:w="2304"/>
          </w:tcPr>
          <w:p>
            <w:r>
              <w:rPr>
                <w:sz w:val="18"/>
              </w:rPr>
              <w:t>0.20 ha</w:t>
            </w:r>
          </w:p>
        </w:tc>
        <w:tc>
          <w:tcPr>
            <w:tcW w:type="dxa" w:w="1152"/>
          </w:tcPr>
          <w:p>
            <w:r>
              <w:rPr>
                <w:sz w:val="18"/>
              </w:rPr>
              <w:t>871</w:t>
            </w:r>
          </w:p>
        </w:tc>
        <w:tc>
          <w:tcPr>
            <w:tcW w:type="dxa" w:w="1872"/>
          </w:tcPr>
          <w:p>
            <w:r>
              <w:rPr>
                <w:sz w:val="18"/>
              </w:rPr>
              <w:t>0.40</w:t>
            </w:r>
          </w:p>
        </w:tc>
        <w:tc>
          <w:tcPr>
            <w:tcW w:type="dxa" w:w="2880"/>
          </w:tcPr>
          <w:p>
            <w:r>
              <w:rPr>
                <w:sz w:val="18"/>
              </w:rPr>
              <w:t>6.3</w:t>
            </w:r>
          </w:p>
        </w:tc>
      </w:tr>
      <w:tr>
        <w:tc>
          <w:tcPr>
            <w:tcW w:type="dxa" w:w="2304"/>
          </w:tcPr>
          <w:p>
            <w:r>
              <w:rPr>
                <w:sz w:val="18"/>
              </w:rPr>
              <w:t>0.25 ha</w:t>
            </w:r>
          </w:p>
        </w:tc>
        <w:tc>
          <w:tcPr>
            <w:tcW w:type="dxa" w:w="1152"/>
          </w:tcPr>
          <w:p>
            <w:r>
              <w:rPr>
                <w:sz w:val="18"/>
              </w:rPr>
              <w:t>676</w:t>
            </w:r>
          </w:p>
        </w:tc>
        <w:tc>
          <w:tcPr>
            <w:tcW w:type="dxa" w:w="1872"/>
          </w:tcPr>
          <w:p>
            <w:r>
              <w:rPr>
                <w:sz w:val="18"/>
              </w:rPr>
              <w:t>0.50</w:t>
            </w:r>
          </w:p>
        </w:tc>
        <w:tc>
          <w:tcPr>
            <w:tcW w:type="dxa" w:w="2880"/>
          </w:tcPr>
          <w:p>
            <w:r>
              <w:rPr>
                <w:sz w:val="18"/>
              </w:rPr>
              <w:t>5.2</w:t>
            </w:r>
          </w:p>
        </w:tc>
      </w:tr>
      <w:tr>
        <w:tc>
          <w:tcPr>
            <w:tcW w:type="dxa" w:w="2304"/>
          </w:tcPr>
          <w:p>
            <w:r>
              <w:rPr>
                <w:sz w:val="18"/>
              </w:rPr>
              <w:t>0.30 ha</w:t>
            </w:r>
          </w:p>
        </w:tc>
        <w:tc>
          <w:tcPr>
            <w:tcW w:type="dxa" w:w="1152"/>
          </w:tcPr>
          <w:p>
            <w:r>
              <w:rPr>
                <w:sz w:val="18"/>
              </w:rPr>
              <w:t>607</w:t>
            </w:r>
          </w:p>
        </w:tc>
        <w:tc>
          <w:tcPr>
            <w:tcW w:type="dxa" w:w="1872"/>
          </w:tcPr>
          <w:p>
            <w:r>
              <w:rPr>
                <w:sz w:val="18"/>
              </w:rPr>
              <w:t>0.50</w:t>
            </w:r>
          </w:p>
        </w:tc>
        <w:tc>
          <w:tcPr>
            <w:tcW w:type="dxa" w:w="2880"/>
          </w:tcPr>
          <w:p>
            <w:r>
              <w:rPr>
                <w:sz w:val="18"/>
              </w:rPr>
              <w:t>5.0</w:t>
            </w:r>
          </w:p>
        </w:tc>
      </w:tr>
      <w:tr>
        <w:tc>
          <w:tcPr>
            <w:tcW w:type="dxa" w:w="2304"/>
          </w:tcPr>
          <w:p>
            <w:r>
              <w:rPr>
                <w:sz w:val="18"/>
              </w:rPr>
              <w:t>0.40 ha</w:t>
            </w:r>
          </w:p>
        </w:tc>
        <w:tc>
          <w:tcPr>
            <w:tcW w:type="dxa" w:w="1152"/>
          </w:tcPr>
          <w:p>
            <w:r>
              <w:rPr>
                <w:sz w:val="18"/>
              </w:rPr>
              <w:t>584</w:t>
            </w:r>
          </w:p>
        </w:tc>
        <w:tc>
          <w:tcPr>
            <w:tcW w:type="dxa" w:w="1872"/>
          </w:tcPr>
          <w:p>
            <w:r>
              <w:rPr>
                <w:sz w:val="18"/>
              </w:rPr>
              <w:t>0.50</w:t>
            </w:r>
          </w:p>
        </w:tc>
        <w:tc>
          <w:tcPr>
            <w:tcW w:type="dxa" w:w="2880"/>
          </w:tcPr>
          <w:p>
            <w:r>
              <w:rPr>
                <w:sz w:val="18"/>
              </w:rPr>
              <w:t>4.8</w:t>
            </w:r>
          </w:p>
        </w:tc>
      </w:tr>
      <w:tr>
        <w:tc>
          <w:tcPr>
            <w:tcW w:type="dxa" w:w="2304"/>
          </w:tcPr>
          <w:p>
            <w:r>
              <w:rPr>
                <w:sz w:val="18"/>
              </w:rPr>
              <w:t>0.50 ha</w:t>
            </w:r>
          </w:p>
        </w:tc>
        <w:tc>
          <w:tcPr>
            <w:tcW w:type="dxa" w:w="1152"/>
          </w:tcPr>
          <w:p>
            <w:r>
              <w:rPr>
                <w:sz w:val="18"/>
              </w:rPr>
              <w:t>365</w:t>
            </w:r>
          </w:p>
        </w:tc>
        <w:tc>
          <w:tcPr>
            <w:tcW w:type="dxa" w:w="1872"/>
          </w:tcPr>
          <w:p>
            <w:r>
              <w:rPr>
                <w:sz w:val="18"/>
              </w:rPr>
              <w:t>0.50</w:t>
            </w:r>
          </w:p>
        </w:tc>
        <w:tc>
          <w:tcPr>
            <w:tcW w:type="dxa" w:w="2880"/>
          </w:tcPr>
          <w:p>
            <w:r>
              <w:rPr>
                <w:sz w:val="18"/>
              </w:rPr>
              <w:t>4.0</w:t>
            </w:r>
          </w:p>
        </w:tc>
      </w:tr>
    </w:tbl>
    <w:p/>
    <w:p>
      <w:pPr>
        <w:jc w:val="left"/>
      </w:pPr>
      <w:r>
        <w:rPr>
          <w:i/>
          <w:color w:val="52514E"/>
          <w:sz w:val="18"/>
        </w:rPr>
        <w:t>Table 1. What each floor does to the sample.</w:t>
      </w:r>
    </w:p>
    <w:p>
      <w:r>
        <w:t>Biomass per unit basal area falls monotonically as the floor rises, from 10.2 with no floor to 4.0 at 0.50 ha. That is the inflation being removed, and it is removed directly rather than through a proxy. Note the sample sizes: at 0.25 ha the sample is LARGER than Run 0's 600 and carries half the inflation, because the floor keeps the unverified sites the maturity filter discards.</w:t>
      </w:r>
    </w:p>
    <w:p>
      <w:pPr>
        <w:pStyle w:val="Heading1"/>
      </w:pPr>
      <w:r>
        <w:t>The ratio rises past 1 - and so does its null</w:t>
      </w:r>
    </w:p>
    <w:p>
      <w:pPr>
        <w:pStyle w:val="IntenseQuote"/>
      </w:pPr>
      <w:r>
        <w:t>Raising the floor does two things at once. It removes the inflation, which is the point. But it also lowers the observed biomass of whatever survives, because larger plots report less biomass per hectare. So any ratio of M' to observed biomass rises as the floor rises, for every M' INCLUDING a randomly chosen one.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160"/>
          </w:tcPr>
          <w:p>
            <w:r>
              <w:rPr>
                <w:b/>
                <w:sz w:val="18"/>
              </w:rPr>
              <w:t>configuration</w:t>
            </w:r>
          </w:p>
        </w:tc>
        <w:tc>
          <w:tcPr>
            <w:tcW w:type="dxa" w:w="1008"/>
          </w:tcPr>
          <w:p>
            <w:r>
              <w:rPr>
                <w:b/>
                <w:sz w:val="18"/>
              </w:rPr>
              <w:t>sites</w:t>
            </w:r>
          </w:p>
        </w:tc>
        <w:tc>
          <w:tcPr>
            <w:tcW w:type="dxa" w:w="1584"/>
          </w:tcPr>
          <w:p>
            <w:r>
              <w:rPr>
                <w:b/>
                <w:sz w:val="18"/>
              </w:rPr>
              <w:t>median ratio</w:t>
            </w:r>
          </w:p>
        </w:tc>
        <w:tc>
          <w:tcPr>
            <w:tcW w:type="dxa" w:w="2304"/>
          </w:tcPr>
          <w:p>
            <w:r>
              <w:rPr>
                <w:b/>
                <w:sz w:val="18"/>
              </w:rPr>
              <w:t>its NVIS-constrained null</w:t>
            </w:r>
          </w:p>
        </w:tc>
        <w:tc>
          <w:tcPr>
            <w:tcW w:type="dxa" w:w="1296"/>
          </w:tcPr>
          <w:p>
            <w:r>
              <w:rPr>
                <w:b/>
                <w:sz w:val="18"/>
              </w:rPr>
              <w:t>difference</w:t>
            </w:r>
          </w:p>
        </w:tc>
      </w:tr>
      <w:tr>
        <w:tc>
          <w:tcPr>
            <w:tcW w:type="dxa" w:w="2160"/>
          </w:tcPr>
          <w:p>
            <w:r>
              <w:rPr>
                <w:sz w:val="18"/>
              </w:rPr>
              <w:t>mature_nofloor</w:t>
            </w:r>
          </w:p>
        </w:tc>
        <w:tc>
          <w:tcPr>
            <w:tcW w:type="dxa" w:w="1008"/>
          </w:tcPr>
          <w:p>
            <w:r>
              <w:rPr>
                <w:sz w:val="18"/>
              </w:rPr>
              <w:t>600</w:t>
            </w:r>
          </w:p>
        </w:tc>
        <w:tc>
          <w:tcPr>
            <w:tcW w:type="dxa" w:w="1584"/>
          </w:tcPr>
          <w:p>
            <w:r>
              <w:rPr>
                <w:sz w:val="18"/>
              </w:rPr>
              <w:t>0.465</w:t>
            </w:r>
          </w:p>
        </w:tc>
        <w:tc>
          <w:tcPr>
            <w:tcW w:type="dxa" w:w="2304"/>
          </w:tcPr>
          <w:p>
            <w:r>
              <w:rPr>
                <w:sz w:val="18"/>
              </w:rPr>
              <w:t>0.445</w:t>
            </w:r>
          </w:p>
        </w:tc>
        <w:tc>
          <w:tcPr>
            <w:tcW w:type="dxa" w:w="1296"/>
          </w:tcPr>
          <w:p>
            <w:r>
              <w:rPr>
                <w:sz w:val="18"/>
              </w:rPr>
              <w:t>+0.020</w:t>
            </w:r>
          </w:p>
        </w:tc>
      </w:tr>
      <w:tr>
        <w:tc>
          <w:tcPr>
            <w:tcW w:type="dxa" w:w="2160"/>
          </w:tcPr>
          <w:p>
            <w:r>
              <w:rPr>
                <w:sz w:val="18"/>
              </w:rPr>
              <w:t>verified_nofloor</w:t>
            </w:r>
          </w:p>
        </w:tc>
        <w:tc>
          <w:tcPr>
            <w:tcW w:type="dxa" w:w="1008"/>
          </w:tcPr>
          <w:p>
            <w:r>
              <w:rPr>
                <w:sz w:val="18"/>
              </w:rPr>
              <w:t>327</w:t>
            </w:r>
          </w:p>
        </w:tc>
        <w:tc>
          <w:tcPr>
            <w:tcW w:type="dxa" w:w="1584"/>
          </w:tcPr>
          <w:p>
            <w:r>
              <w:rPr>
                <w:sz w:val="18"/>
              </w:rPr>
              <w:t>0.557</w:t>
            </w:r>
          </w:p>
        </w:tc>
        <w:tc>
          <w:tcPr>
            <w:tcW w:type="dxa" w:w="2304"/>
          </w:tcPr>
          <w:p>
            <w:r>
              <w:rPr>
                <w:sz w:val="18"/>
              </w:rPr>
              <w:t>0.478</w:t>
            </w:r>
          </w:p>
        </w:tc>
        <w:tc>
          <w:tcPr>
            <w:tcW w:type="dxa" w:w="1296"/>
          </w:tcPr>
          <w:p>
            <w:r>
              <w:rPr>
                <w:sz w:val="18"/>
              </w:rPr>
              <w:t>+0.079</w:t>
            </w:r>
          </w:p>
        </w:tc>
      </w:tr>
      <w:tr>
        <w:tc>
          <w:tcPr>
            <w:tcW w:type="dxa" w:w="2160"/>
          </w:tcPr>
          <w:p>
            <w:r>
              <w:rPr>
                <w:sz w:val="18"/>
              </w:rPr>
              <w:t>area_010</w:t>
            </w:r>
          </w:p>
        </w:tc>
        <w:tc>
          <w:tcPr>
            <w:tcW w:type="dxa" w:w="1008"/>
          </w:tcPr>
          <w:p>
            <w:r>
              <w:rPr>
                <w:sz w:val="18"/>
              </w:rPr>
              <w:t>1326</w:t>
            </w:r>
          </w:p>
        </w:tc>
        <w:tc>
          <w:tcPr>
            <w:tcW w:type="dxa" w:w="1584"/>
          </w:tcPr>
          <w:p>
            <w:r>
              <w:rPr>
                <w:sz w:val="18"/>
              </w:rPr>
              <w:t>0.891</w:t>
            </w:r>
          </w:p>
        </w:tc>
        <w:tc>
          <w:tcPr>
            <w:tcW w:type="dxa" w:w="2304"/>
          </w:tcPr>
          <w:p>
            <w:r>
              <w:rPr>
                <w:sz w:val="18"/>
              </w:rPr>
              <w:t>0.777</w:t>
            </w:r>
          </w:p>
        </w:tc>
        <w:tc>
          <w:tcPr>
            <w:tcW w:type="dxa" w:w="1296"/>
          </w:tcPr>
          <w:p>
            <w:r>
              <w:rPr>
                <w:sz w:val="18"/>
              </w:rPr>
              <w:t>+0.114</w:t>
            </w:r>
          </w:p>
        </w:tc>
      </w:tr>
      <w:tr>
        <w:tc>
          <w:tcPr>
            <w:tcW w:type="dxa" w:w="2160"/>
          </w:tcPr>
          <w:p>
            <w:r>
              <w:rPr>
                <w:sz w:val="18"/>
              </w:rPr>
              <w:t>area_020</w:t>
            </w:r>
          </w:p>
        </w:tc>
        <w:tc>
          <w:tcPr>
            <w:tcW w:type="dxa" w:w="1008"/>
          </w:tcPr>
          <w:p>
            <w:r>
              <w:rPr>
                <w:sz w:val="18"/>
              </w:rPr>
              <w:t>871</w:t>
            </w:r>
          </w:p>
        </w:tc>
        <w:tc>
          <w:tcPr>
            <w:tcW w:type="dxa" w:w="1584"/>
          </w:tcPr>
          <w:p>
            <w:r>
              <w:rPr>
                <w:sz w:val="18"/>
              </w:rPr>
              <w:t>0.917</w:t>
            </w:r>
          </w:p>
        </w:tc>
        <w:tc>
          <w:tcPr>
            <w:tcW w:type="dxa" w:w="2304"/>
          </w:tcPr>
          <w:p>
            <w:r>
              <w:rPr>
                <w:sz w:val="18"/>
              </w:rPr>
              <w:t>0.817</w:t>
            </w:r>
          </w:p>
        </w:tc>
        <w:tc>
          <w:tcPr>
            <w:tcW w:type="dxa" w:w="1296"/>
          </w:tcPr>
          <w:p>
            <w:r>
              <w:rPr>
                <w:sz w:val="18"/>
              </w:rPr>
              <w:t>+0.100</w:t>
            </w:r>
          </w:p>
        </w:tc>
      </w:tr>
      <w:tr>
        <w:tc>
          <w:tcPr>
            <w:tcW w:type="dxa" w:w="2160"/>
          </w:tcPr>
          <w:p>
            <w:r>
              <w:rPr>
                <w:sz w:val="18"/>
              </w:rPr>
              <w:t>area_025</w:t>
            </w:r>
          </w:p>
        </w:tc>
        <w:tc>
          <w:tcPr>
            <w:tcW w:type="dxa" w:w="1008"/>
          </w:tcPr>
          <w:p>
            <w:r>
              <w:rPr>
                <w:sz w:val="18"/>
              </w:rPr>
              <w:t>676</w:t>
            </w:r>
          </w:p>
        </w:tc>
        <w:tc>
          <w:tcPr>
            <w:tcW w:type="dxa" w:w="1584"/>
          </w:tcPr>
          <w:p>
            <w:r>
              <w:rPr>
                <w:sz w:val="18"/>
              </w:rPr>
              <w:t>1.204</w:t>
            </w:r>
          </w:p>
        </w:tc>
        <w:tc>
          <w:tcPr>
            <w:tcW w:type="dxa" w:w="2304"/>
          </w:tcPr>
          <w:p>
            <w:r>
              <w:rPr>
                <w:sz w:val="18"/>
              </w:rPr>
              <w:t>0.992</w:t>
            </w:r>
          </w:p>
        </w:tc>
        <w:tc>
          <w:tcPr>
            <w:tcW w:type="dxa" w:w="1296"/>
          </w:tcPr>
          <w:p>
            <w:r>
              <w:rPr>
                <w:sz w:val="18"/>
              </w:rPr>
              <w:t>+0.212</w:t>
            </w:r>
          </w:p>
        </w:tc>
      </w:tr>
      <w:tr>
        <w:tc>
          <w:tcPr>
            <w:tcW w:type="dxa" w:w="2160"/>
          </w:tcPr>
          <w:p>
            <w:r>
              <w:rPr>
                <w:sz w:val="18"/>
              </w:rPr>
              <w:t>area_030</w:t>
            </w:r>
          </w:p>
        </w:tc>
        <w:tc>
          <w:tcPr>
            <w:tcW w:type="dxa" w:w="1008"/>
          </w:tcPr>
          <w:p>
            <w:r>
              <w:rPr>
                <w:sz w:val="18"/>
              </w:rPr>
              <w:t>607</w:t>
            </w:r>
          </w:p>
        </w:tc>
        <w:tc>
          <w:tcPr>
            <w:tcW w:type="dxa" w:w="1584"/>
          </w:tcPr>
          <w:p>
            <w:r>
              <w:rPr>
                <w:sz w:val="18"/>
              </w:rPr>
              <w:t>1.274</w:t>
            </w:r>
          </w:p>
        </w:tc>
        <w:tc>
          <w:tcPr>
            <w:tcW w:type="dxa" w:w="2304"/>
          </w:tcPr>
          <w:p>
            <w:r>
              <w:rPr>
                <w:sz w:val="18"/>
              </w:rPr>
              <w:t>1.141</w:t>
            </w:r>
          </w:p>
        </w:tc>
        <w:tc>
          <w:tcPr>
            <w:tcW w:type="dxa" w:w="1296"/>
          </w:tcPr>
          <w:p>
            <w:r>
              <w:rPr>
                <w:sz w:val="18"/>
              </w:rPr>
              <w:t>+0.133</w:t>
            </w:r>
          </w:p>
        </w:tc>
      </w:tr>
      <w:tr>
        <w:tc>
          <w:tcPr>
            <w:tcW w:type="dxa" w:w="2160"/>
          </w:tcPr>
          <w:p>
            <w:r>
              <w:rPr>
                <w:sz w:val="18"/>
              </w:rPr>
              <w:t>area_040</w:t>
            </w:r>
          </w:p>
        </w:tc>
        <w:tc>
          <w:tcPr>
            <w:tcW w:type="dxa" w:w="1008"/>
          </w:tcPr>
          <w:p>
            <w:r>
              <w:rPr>
                <w:sz w:val="18"/>
              </w:rPr>
              <w:t>584</w:t>
            </w:r>
          </w:p>
        </w:tc>
        <w:tc>
          <w:tcPr>
            <w:tcW w:type="dxa" w:w="1584"/>
          </w:tcPr>
          <w:p>
            <w:r>
              <w:rPr>
                <w:sz w:val="18"/>
              </w:rPr>
              <w:t>1.275</w:t>
            </w:r>
          </w:p>
        </w:tc>
        <w:tc>
          <w:tcPr>
            <w:tcW w:type="dxa" w:w="2304"/>
          </w:tcPr>
          <w:p>
            <w:r>
              <w:rPr>
                <w:sz w:val="18"/>
              </w:rPr>
              <w:t>1.102</w:t>
            </w:r>
          </w:p>
        </w:tc>
        <w:tc>
          <w:tcPr>
            <w:tcW w:type="dxa" w:w="1296"/>
          </w:tcPr>
          <w:p>
            <w:r>
              <w:rPr>
                <w:sz w:val="18"/>
              </w:rPr>
              <w:t>+0.173</w:t>
            </w:r>
          </w:p>
        </w:tc>
      </w:tr>
      <w:tr>
        <w:tc>
          <w:tcPr>
            <w:tcW w:type="dxa" w:w="2160"/>
          </w:tcPr>
          <w:p>
            <w:r>
              <w:rPr>
                <w:sz w:val="18"/>
              </w:rPr>
              <w:t>area_050</w:t>
            </w:r>
          </w:p>
        </w:tc>
        <w:tc>
          <w:tcPr>
            <w:tcW w:type="dxa" w:w="1008"/>
          </w:tcPr>
          <w:p>
            <w:r>
              <w:rPr>
                <w:sz w:val="18"/>
              </w:rPr>
              <w:t>365</w:t>
            </w:r>
          </w:p>
        </w:tc>
        <w:tc>
          <w:tcPr>
            <w:tcW w:type="dxa" w:w="1584"/>
          </w:tcPr>
          <w:p>
            <w:r>
              <w:rPr>
                <w:sz w:val="18"/>
              </w:rPr>
              <w:t>1.441</w:t>
            </w:r>
          </w:p>
        </w:tc>
        <w:tc>
          <w:tcPr>
            <w:tcW w:type="dxa" w:w="2304"/>
          </w:tcPr>
          <w:p>
            <w:r>
              <w:rPr>
                <w:sz w:val="18"/>
              </w:rPr>
              <w:t>1.255</w:t>
            </w:r>
          </w:p>
        </w:tc>
        <w:tc>
          <w:tcPr>
            <w:tcW w:type="dxa" w:w="1296"/>
          </w:tcPr>
          <w:p>
            <w:r>
              <w:rPr>
                <w:sz w:val="18"/>
              </w:rPr>
              <w:t>+0.185</w:t>
            </w:r>
          </w:p>
        </w:tc>
      </w:tr>
    </w:tbl>
    <w:p/>
    <w:p>
      <w:pPr>
        <w:jc w:val="left"/>
      </w:pPr>
      <w:r>
        <w:rPr>
          <w:i/>
          <w:color w:val="52514E"/>
          <w:sz w:val="18"/>
        </w:rPr>
        <w:t>Table 2. The ratio against the null that moved with it.</w:t>
      </w:r>
    </w:p>
    <w:p>
      <w:r>
        <w:t>The headline is striking: M'/AGB rises from 0.465 under Run 0 to 1.275 at the 0.40 ha floor, which puts M' ABOVE observed biomass - the direction a maximum should err in, and the opposite of the under-prediction the published gate reports. The failure of the present-day gate is largely an artefact of small plots, not a property of M'.</w:t>
      </w:r>
    </w:p>
    <w:p>
      <w:r>
        <w:t>But the null does the same thing, from 0.445 to 1.102, so the ratio alone proves nothing. This is exactly why both nulls are carried through every run of this study.</w:t>
      </w:r>
    </w:p>
    <w:p>
      <w:pPr>
        <w:jc w:val="center"/>
      </w:pPr>
      <w:r>
        <w:drawing>
          <wp:inline xmlns:a="http://schemas.openxmlformats.org/drawingml/2006/main" xmlns:pic="http://schemas.openxmlformats.org/drawingml/2006/picture">
            <wp:extent cx="5852160" cy="2154088"/>
            <wp:docPr id="1" name="Picture 1"/>
            <wp:cNvGraphicFramePr>
              <a:graphicFrameLocks noChangeAspect="1"/>
            </wp:cNvGraphicFramePr>
            <a:graphic>
              <a:graphicData uri="http://schemas.openxmlformats.org/drawingml/2006/picture">
                <pic:pic>
                  <pic:nvPicPr>
                    <pic:cNvPr id="0" name="fig_01_ratio_and_rho.png"/>
                    <pic:cNvPicPr/>
                  </pic:nvPicPr>
                  <pic:blipFill>
                    <a:blip r:embed="rId9"/>
                    <a:stretch>
                      <a:fillRect/>
                    </a:stretch>
                  </pic:blipFill>
                  <pic:spPr>
                    <a:xfrm>
                      <a:off x="0" y="0"/>
                      <a:ext cx="5852160" cy="2154088"/>
                    </a:xfrm>
                    <a:prstGeom prst="rect"/>
                  </pic:spPr>
                </pic:pic>
              </a:graphicData>
            </a:graphic>
          </wp:inline>
        </w:drawing>
      </w:r>
    </w:p>
    <w:p>
      <w:pPr>
        <w:jc w:val="left"/>
      </w:pPr>
      <w:r>
        <w:rPr>
          <w:i/>
          <w:color w:val="52514E"/>
          <w:sz w:val="18"/>
        </w:rPr>
        <w:t>Figure 1. The sweep, with both nulls drawn in and Run 0, Run 1 and the combined filter as horizontal references.</w:t>
      </w:r>
    </w:p>
    <w:p>
      <w:pPr>
        <w:pStyle w:val="Heading1"/>
      </w:pPr>
      <w:r>
        <w:t>The gap to the null is where the answer is</w:t>
      </w:r>
    </w:p>
    <w:p>
      <w:r>
        <w:t>Subtracting each configuration's own null leaves what the matching actually contributes. On that axis the floor beats the maturity filter, and it does so while keeping far more sites.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2016"/>
          </w:tcPr>
          <w:p>
            <w:r>
              <w:rPr>
                <w:b/>
                <w:sz w:val="18"/>
              </w:rPr>
              <w:t>configuration</w:t>
            </w:r>
          </w:p>
        </w:tc>
        <w:tc>
          <w:tcPr>
            <w:tcW w:type="dxa" w:w="864"/>
          </w:tcPr>
          <w:p>
            <w:r>
              <w:rPr>
                <w:b/>
                <w:sz w:val="18"/>
              </w:rPr>
              <w:t>sites</w:t>
            </w:r>
          </w:p>
        </w:tc>
        <w:tc>
          <w:tcPr>
            <w:tcW w:type="dxa" w:w="1008"/>
          </w:tcPr>
          <w:p>
            <w:r>
              <w:rPr>
                <w:b/>
                <w:sz w:val="18"/>
              </w:rPr>
              <w:t>rho</w:t>
            </w:r>
          </w:p>
        </w:tc>
        <w:tc>
          <w:tcPr>
            <w:tcW w:type="dxa" w:w="1152"/>
          </w:tcPr>
          <w:p>
            <w:r>
              <w:rPr>
                <w:b/>
                <w:sz w:val="18"/>
              </w:rPr>
              <w:t>null rho</w:t>
            </w:r>
          </w:p>
        </w:tc>
        <w:tc>
          <w:tcPr>
            <w:tcW w:type="dxa" w:w="1872"/>
          </w:tcPr>
          <w:p>
            <w:r>
              <w:rPr>
                <w:b/>
                <w:sz w:val="18"/>
              </w:rPr>
              <w:t>gap vs constrained null</w:t>
            </w:r>
          </w:p>
        </w:tc>
        <w:tc>
          <w:tcPr>
            <w:tcW w:type="dxa" w:w="2016"/>
          </w:tcPr>
          <w:p>
            <w:r>
              <w:rPr>
                <w:b/>
                <w:sz w:val="18"/>
              </w:rPr>
              <w:t>gap vs unconstrained null</w:t>
            </w:r>
          </w:p>
        </w:tc>
        <w:tc>
          <w:tcPr>
            <w:tcW w:type="dxa" w:w="1296"/>
          </w:tcPr>
          <w:p>
            <w:r>
              <w:rPr>
                <w:b/>
                <w:sz w:val="18"/>
              </w:rPr>
              <w:t>no-analogue</w:t>
            </w:r>
          </w:p>
        </w:tc>
      </w:tr>
      <w:tr>
        <w:tc>
          <w:tcPr>
            <w:tcW w:type="dxa" w:w="2016"/>
          </w:tcPr>
          <w:p>
            <w:r>
              <w:rPr>
                <w:sz w:val="18"/>
              </w:rPr>
              <w:t>mature_nofloor</w:t>
            </w:r>
          </w:p>
        </w:tc>
        <w:tc>
          <w:tcPr>
            <w:tcW w:type="dxa" w:w="864"/>
          </w:tcPr>
          <w:p>
            <w:r>
              <w:rPr>
                <w:sz w:val="18"/>
              </w:rPr>
              <w:t>600</w:t>
            </w:r>
          </w:p>
        </w:tc>
        <w:tc>
          <w:tcPr>
            <w:tcW w:type="dxa" w:w="1008"/>
          </w:tcPr>
          <w:p>
            <w:r>
              <w:rPr>
                <w:sz w:val="18"/>
              </w:rPr>
              <w:t>0.269</w:t>
            </w:r>
          </w:p>
        </w:tc>
        <w:tc>
          <w:tcPr>
            <w:tcW w:type="dxa" w:w="1152"/>
          </w:tcPr>
          <w:p>
            <w:r>
              <w:rPr>
                <w:sz w:val="18"/>
              </w:rPr>
              <w:t>0.205</w:t>
            </w:r>
          </w:p>
        </w:tc>
        <w:tc>
          <w:tcPr>
            <w:tcW w:type="dxa" w:w="1872"/>
          </w:tcPr>
          <w:p>
            <w:r>
              <w:rPr>
                <w:sz w:val="18"/>
              </w:rPr>
              <w:t>+0.064</w:t>
            </w:r>
          </w:p>
        </w:tc>
        <w:tc>
          <w:tcPr>
            <w:tcW w:type="dxa" w:w="2016"/>
          </w:tcPr>
          <w:p>
            <w:r>
              <w:rPr>
                <w:sz w:val="18"/>
              </w:rPr>
              <w:t>+0.240</w:t>
            </w:r>
          </w:p>
        </w:tc>
        <w:tc>
          <w:tcPr>
            <w:tcW w:type="dxa" w:w="1296"/>
          </w:tcPr>
          <w:p>
            <w:r>
              <w:rPr>
                <w:sz w:val="18"/>
              </w:rPr>
              <w:t>16.1%</w:t>
            </w:r>
          </w:p>
        </w:tc>
      </w:tr>
      <w:tr>
        <w:tc>
          <w:tcPr>
            <w:tcW w:type="dxa" w:w="2016"/>
          </w:tcPr>
          <w:p>
            <w:r>
              <w:rPr>
                <w:sz w:val="18"/>
              </w:rPr>
              <w:t>verified_nofloor</w:t>
            </w:r>
          </w:p>
        </w:tc>
        <w:tc>
          <w:tcPr>
            <w:tcW w:type="dxa" w:w="864"/>
          </w:tcPr>
          <w:p>
            <w:r>
              <w:rPr>
                <w:sz w:val="18"/>
              </w:rPr>
              <w:t>327</w:t>
            </w:r>
          </w:p>
        </w:tc>
        <w:tc>
          <w:tcPr>
            <w:tcW w:type="dxa" w:w="1008"/>
          </w:tcPr>
          <w:p>
            <w:r>
              <w:rPr>
                <w:sz w:val="18"/>
              </w:rPr>
              <w:t>0.371</w:t>
            </w:r>
          </w:p>
        </w:tc>
        <w:tc>
          <w:tcPr>
            <w:tcW w:type="dxa" w:w="1152"/>
          </w:tcPr>
          <w:p>
            <w:r>
              <w:rPr>
                <w:sz w:val="18"/>
              </w:rPr>
              <w:t>0.286</w:t>
            </w:r>
          </w:p>
        </w:tc>
        <w:tc>
          <w:tcPr>
            <w:tcW w:type="dxa" w:w="1872"/>
          </w:tcPr>
          <w:p>
            <w:r>
              <w:rPr>
                <w:sz w:val="18"/>
              </w:rPr>
              <w:t>+0.084</w:t>
            </w:r>
          </w:p>
        </w:tc>
        <w:tc>
          <w:tcPr>
            <w:tcW w:type="dxa" w:w="2016"/>
          </w:tcPr>
          <w:p>
            <w:r>
              <w:rPr>
                <w:sz w:val="18"/>
              </w:rPr>
              <w:t>+0.426</w:t>
            </w:r>
          </w:p>
        </w:tc>
        <w:tc>
          <w:tcPr>
            <w:tcW w:type="dxa" w:w="1296"/>
          </w:tcPr>
          <w:p>
            <w:r>
              <w:rPr>
                <w:sz w:val="18"/>
              </w:rPr>
              <w:t>19.4%</w:t>
            </w:r>
          </w:p>
        </w:tc>
      </w:tr>
      <w:tr>
        <w:tc>
          <w:tcPr>
            <w:tcW w:type="dxa" w:w="2016"/>
          </w:tcPr>
          <w:p>
            <w:r>
              <w:rPr>
                <w:sz w:val="18"/>
              </w:rPr>
              <w:t>area_010</w:t>
            </w:r>
          </w:p>
        </w:tc>
        <w:tc>
          <w:tcPr>
            <w:tcW w:type="dxa" w:w="864"/>
          </w:tcPr>
          <w:p>
            <w:r>
              <w:rPr>
                <w:sz w:val="18"/>
              </w:rPr>
              <w:t>1326</w:t>
            </w:r>
          </w:p>
        </w:tc>
        <w:tc>
          <w:tcPr>
            <w:tcW w:type="dxa" w:w="1008"/>
          </w:tcPr>
          <w:p>
            <w:r>
              <w:rPr>
                <w:sz w:val="18"/>
              </w:rPr>
              <w:t>0.155</w:t>
            </w:r>
          </w:p>
        </w:tc>
        <w:tc>
          <w:tcPr>
            <w:tcW w:type="dxa" w:w="1152"/>
          </w:tcPr>
          <w:p>
            <w:r>
              <w:rPr>
                <w:sz w:val="18"/>
              </w:rPr>
              <w:t>0.141</w:t>
            </w:r>
          </w:p>
        </w:tc>
        <w:tc>
          <w:tcPr>
            <w:tcW w:type="dxa" w:w="1872"/>
          </w:tcPr>
          <w:p>
            <w:r>
              <w:rPr>
                <w:sz w:val="18"/>
              </w:rPr>
              <w:t>+0.015</w:t>
            </w:r>
          </w:p>
        </w:tc>
        <w:tc>
          <w:tcPr>
            <w:tcW w:type="dxa" w:w="2016"/>
          </w:tcPr>
          <w:p>
            <w:r>
              <w:rPr>
                <w:sz w:val="18"/>
              </w:rPr>
              <w:t>+0.173</w:t>
            </w:r>
          </w:p>
        </w:tc>
        <w:tc>
          <w:tcPr>
            <w:tcW w:type="dxa" w:w="1296"/>
          </w:tcPr>
          <w:p>
            <w:r>
              <w:rPr>
                <w:sz w:val="18"/>
              </w:rPr>
              <w:t>13.8%</w:t>
            </w:r>
          </w:p>
        </w:tc>
      </w:tr>
      <w:tr>
        <w:tc>
          <w:tcPr>
            <w:tcW w:type="dxa" w:w="2016"/>
          </w:tcPr>
          <w:p>
            <w:r>
              <w:rPr>
                <w:sz w:val="18"/>
              </w:rPr>
              <w:t>area_020</w:t>
            </w:r>
          </w:p>
        </w:tc>
        <w:tc>
          <w:tcPr>
            <w:tcW w:type="dxa" w:w="864"/>
          </w:tcPr>
          <w:p>
            <w:r>
              <w:rPr>
                <w:sz w:val="18"/>
              </w:rPr>
              <w:t>871</w:t>
            </w:r>
          </w:p>
        </w:tc>
        <w:tc>
          <w:tcPr>
            <w:tcW w:type="dxa" w:w="1008"/>
          </w:tcPr>
          <w:p>
            <w:r>
              <w:rPr>
                <w:sz w:val="18"/>
              </w:rPr>
              <w:t>0.118</w:t>
            </w:r>
          </w:p>
        </w:tc>
        <w:tc>
          <w:tcPr>
            <w:tcW w:type="dxa" w:w="1152"/>
          </w:tcPr>
          <w:p>
            <w:r>
              <w:rPr>
                <w:sz w:val="18"/>
              </w:rPr>
              <w:t>0.151</w:t>
            </w:r>
          </w:p>
        </w:tc>
        <w:tc>
          <w:tcPr>
            <w:tcW w:type="dxa" w:w="1872"/>
          </w:tcPr>
          <w:p>
            <w:r>
              <w:rPr>
                <w:sz w:val="18"/>
              </w:rPr>
              <w:t>-0.033</w:t>
            </w:r>
          </w:p>
        </w:tc>
        <w:tc>
          <w:tcPr>
            <w:tcW w:type="dxa" w:w="2016"/>
          </w:tcPr>
          <w:p>
            <w:r>
              <w:rPr>
                <w:sz w:val="18"/>
              </w:rPr>
              <w:t>+0.086</w:t>
            </w:r>
          </w:p>
        </w:tc>
        <w:tc>
          <w:tcPr>
            <w:tcW w:type="dxa" w:w="1296"/>
          </w:tcPr>
          <w:p>
            <w:r>
              <w:rPr>
                <w:sz w:val="18"/>
              </w:rPr>
              <w:t>14.1%</w:t>
            </w:r>
          </w:p>
        </w:tc>
      </w:tr>
      <w:tr>
        <w:tc>
          <w:tcPr>
            <w:tcW w:type="dxa" w:w="2016"/>
          </w:tcPr>
          <w:p>
            <w:r>
              <w:rPr>
                <w:sz w:val="18"/>
              </w:rPr>
              <w:t>area_025</w:t>
            </w:r>
          </w:p>
        </w:tc>
        <w:tc>
          <w:tcPr>
            <w:tcW w:type="dxa" w:w="864"/>
          </w:tcPr>
          <w:p>
            <w:r>
              <w:rPr>
                <w:sz w:val="18"/>
              </w:rPr>
              <w:t>676</w:t>
            </w:r>
          </w:p>
        </w:tc>
        <w:tc>
          <w:tcPr>
            <w:tcW w:type="dxa" w:w="1008"/>
          </w:tcPr>
          <w:p>
            <w:r>
              <w:rPr>
                <w:sz w:val="18"/>
              </w:rPr>
              <w:t>0.244</w:t>
            </w:r>
          </w:p>
        </w:tc>
        <w:tc>
          <w:tcPr>
            <w:tcW w:type="dxa" w:w="1152"/>
          </w:tcPr>
          <w:p>
            <w:r>
              <w:rPr>
                <w:sz w:val="18"/>
              </w:rPr>
              <w:t>0.210</w:t>
            </w:r>
          </w:p>
        </w:tc>
        <w:tc>
          <w:tcPr>
            <w:tcW w:type="dxa" w:w="1872"/>
          </w:tcPr>
          <w:p>
            <w:r>
              <w:rPr>
                <w:sz w:val="18"/>
              </w:rPr>
              <w:t>+0.034</w:t>
            </w:r>
          </w:p>
        </w:tc>
        <w:tc>
          <w:tcPr>
            <w:tcW w:type="dxa" w:w="2016"/>
          </w:tcPr>
          <w:p>
            <w:r>
              <w:rPr>
                <w:sz w:val="18"/>
              </w:rPr>
              <w:t>+0.268</w:t>
            </w:r>
          </w:p>
        </w:tc>
        <w:tc>
          <w:tcPr>
            <w:tcW w:type="dxa" w:w="1296"/>
          </w:tcPr>
          <w:p>
            <w:r>
              <w:rPr>
                <w:sz w:val="18"/>
              </w:rPr>
              <w:t>14.7%</w:t>
            </w:r>
          </w:p>
        </w:tc>
      </w:tr>
      <w:tr>
        <w:tc>
          <w:tcPr>
            <w:tcW w:type="dxa" w:w="2016"/>
          </w:tcPr>
          <w:p>
            <w:r>
              <w:rPr>
                <w:sz w:val="18"/>
              </w:rPr>
              <w:t>area_030</w:t>
            </w:r>
          </w:p>
        </w:tc>
        <w:tc>
          <w:tcPr>
            <w:tcW w:type="dxa" w:w="864"/>
          </w:tcPr>
          <w:p>
            <w:r>
              <w:rPr>
                <w:sz w:val="18"/>
              </w:rPr>
              <w:t>607</w:t>
            </w:r>
          </w:p>
        </w:tc>
        <w:tc>
          <w:tcPr>
            <w:tcW w:type="dxa" w:w="1008"/>
          </w:tcPr>
          <w:p>
            <w:r>
              <w:rPr>
                <w:sz w:val="18"/>
              </w:rPr>
              <w:t>0.338</w:t>
            </w:r>
          </w:p>
        </w:tc>
        <w:tc>
          <w:tcPr>
            <w:tcW w:type="dxa" w:w="1152"/>
          </w:tcPr>
          <w:p>
            <w:r>
              <w:rPr>
                <w:sz w:val="18"/>
              </w:rPr>
              <w:t>0.230</w:t>
            </w:r>
          </w:p>
        </w:tc>
        <w:tc>
          <w:tcPr>
            <w:tcW w:type="dxa" w:w="1872"/>
          </w:tcPr>
          <w:p>
            <w:r>
              <w:rPr>
                <w:sz w:val="18"/>
              </w:rPr>
              <w:t>+0.107</w:t>
            </w:r>
          </w:p>
        </w:tc>
        <w:tc>
          <w:tcPr>
            <w:tcW w:type="dxa" w:w="2016"/>
          </w:tcPr>
          <w:p>
            <w:r>
              <w:rPr>
                <w:sz w:val="18"/>
              </w:rPr>
              <w:t>+0.312</w:t>
            </w:r>
          </w:p>
        </w:tc>
        <w:tc>
          <w:tcPr>
            <w:tcW w:type="dxa" w:w="1296"/>
          </w:tcPr>
          <w:p>
            <w:r>
              <w:rPr>
                <w:sz w:val="18"/>
              </w:rPr>
              <w:t>14.6%</w:t>
            </w:r>
          </w:p>
        </w:tc>
      </w:tr>
      <w:tr>
        <w:tc>
          <w:tcPr>
            <w:tcW w:type="dxa" w:w="2016"/>
          </w:tcPr>
          <w:p>
            <w:r>
              <w:rPr>
                <w:sz w:val="18"/>
              </w:rPr>
              <w:t>area_040</w:t>
            </w:r>
          </w:p>
        </w:tc>
        <w:tc>
          <w:tcPr>
            <w:tcW w:type="dxa" w:w="864"/>
          </w:tcPr>
          <w:p>
            <w:r>
              <w:rPr>
                <w:sz w:val="18"/>
              </w:rPr>
              <w:t>584</w:t>
            </w:r>
          </w:p>
        </w:tc>
        <w:tc>
          <w:tcPr>
            <w:tcW w:type="dxa" w:w="1008"/>
          </w:tcPr>
          <w:p>
            <w:r>
              <w:rPr>
                <w:sz w:val="18"/>
              </w:rPr>
              <w:t>0.351</w:t>
            </w:r>
          </w:p>
        </w:tc>
        <w:tc>
          <w:tcPr>
            <w:tcW w:type="dxa" w:w="1152"/>
          </w:tcPr>
          <w:p>
            <w:r>
              <w:rPr>
                <w:sz w:val="18"/>
              </w:rPr>
              <w:t>0.223</w:t>
            </w:r>
          </w:p>
        </w:tc>
        <w:tc>
          <w:tcPr>
            <w:tcW w:type="dxa" w:w="1872"/>
          </w:tcPr>
          <w:p>
            <w:r>
              <w:rPr>
                <w:sz w:val="18"/>
              </w:rPr>
              <w:t>+0.128</w:t>
            </w:r>
          </w:p>
        </w:tc>
        <w:tc>
          <w:tcPr>
            <w:tcW w:type="dxa" w:w="2016"/>
          </w:tcPr>
          <w:p>
            <w:r>
              <w:rPr>
                <w:sz w:val="18"/>
              </w:rPr>
              <w:t>+0.357</w:t>
            </w:r>
          </w:p>
        </w:tc>
        <w:tc>
          <w:tcPr>
            <w:tcW w:type="dxa" w:w="1296"/>
          </w:tcPr>
          <w:p>
            <w:r>
              <w:rPr>
                <w:sz w:val="18"/>
              </w:rPr>
              <w:t>14.9%</w:t>
            </w:r>
          </w:p>
        </w:tc>
      </w:tr>
      <w:tr>
        <w:tc>
          <w:tcPr>
            <w:tcW w:type="dxa" w:w="2016"/>
          </w:tcPr>
          <w:p>
            <w:r>
              <w:rPr>
                <w:sz w:val="18"/>
              </w:rPr>
              <w:t>area_050</w:t>
            </w:r>
          </w:p>
        </w:tc>
        <w:tc>
          <w:tcPr>
            <w:tcW w:type="dxa" w:w="864"/>
          </w:tcPr>
          <w:p>
            <w:r>
              <w:rPr>
                <w:sz w:val="18"/>
              </w:rPr>
              <w:t>365</w:t>
            </w:r>
          </w:p>
        </w:tc>
        <w:tc>
          <w:tcPr>
            <w:tcW w:type="dxa" w:w="1008"/>
          </w:tcPr>
          <w:p>
            <w:r>
              <w:rPr>
                <w:sz w:val="18"/>
              </w:rPr>
              <w:t>0.447</w:t>
            </w:r>
          </w:p>
        </w:tc>
        <w:tc>
          <w:tcPr>
            <w:tcW w:type="dxa" w:w="1152"/>
          </w:tcPr>
          <w:p>
            <w:r>
              <w:rPr>
                <w:sz w:val="18"/>
              </w:rPr>
              <w:t>0.339</w:t>
            </w:r>
          </w:p>
        </w:tc>
        <w:tc>
          <w:tcPr>
            <w:tcW w:type="dxa" w:w="1872"/>
          </w:tcPr>
          <w:p>
            <w:r>
              <w:rPr>
                <w:sz w:val="18"/>
              </w:rPr>
              <w:t>+0.107</w:t>
            </w:r>
          </w:p>
        </w:tc>
        <w:tc>
          <w:tcPr>
            <w:tcW w:type="dxa" w:w="2016"/>
          </w:tcPr>
          <w:p>
            <w:r>
              <w:rPr>
                <w:sz w:val="18"/>
              </w:rPr>
              <w:t>+0.410</w:t>
            </w:r>
          </w:p>
        </w:tc>
        <w:tc>
          <w:tcPr>
            <w:tcW w:type="dxa" w:w="1296"/>
          </w:tcPr>
          <w:p>
            <w:r>
              <w:rPr>
                <w:sz w:val="18"/>
              </w:rPr>
              <w:t>16.8%</w:t>
            </w:r>
          </w:p>
        </w:tc>
      </w:tr>
      <w:tr>
        <w:tc>
          <w:tcPr>
            <w:tcW w:type="dxa" w:w="2016"/>
          </w:tcPr>
          <w:p>
            <w:r>
              <w:rPr>
                <w:sz w:val="18"/>
              </w:rPr>
              <w:t>area_025_mature</w:t>
            </w:r>
          </w:p>
        </w:tc>
        <w:tc>
          <w:tcPr>
            <w:tcW w:type="dxa" w:w="864"/>
          </w:tcPr>
          <w:p>
            <w:r>
              <w:rPr>
                <w:sz w:val="18"/>
              </w:rPr>
              <w:t>298</w:t>
            </w:r>
          </w:p>
        </w:tc>
        <w:tc>
          <w:tcPr>
            <w:tcW w:type="dxa" w:w="1008"/>
          </w:tcPr>
          <w:p>
            <w:r>
              <w:rPr>
                <w:sz w:val="18"/>
              </w:rPr>
              <w:t>0.372</w:t>
            </w:r>
          </w:p>
        </w:tc>
        <w:tc>
          <w:tcPr>
            <w:tcW w:type="dxa" w:w="1152"/>
          </w:tcPr>
          <w:p>
            <w:r>
              <w:rPr>
                <w:sz w:val="18"/>
              </w:rPr>
              <w:t>0.380</w:t>
            </w:r>
          </w:p>
        </w:tc>
        <w:tc>
          <w:tcPr>
            <w:tcW w:type="dxa" w:w="1872"/>
          </w:tcPr>
          <w:p>
            <w:r>
              <w:rPr>
                <w:sz w:val="18"/>
              </w:rPr>
              <w:t>-0.007</w:t>
            </w:r>
          </w:p>
        </w:tc>
        <w:tc>
          <w:tcPr>
            <w:tcW w:type="dxa" w:w="2016"/>
          </w:tcPr>
          <w:p>
            <w:r>
              <w:rPr>
                <w:sz w:val="18"/>
              </w:rPr>
              <w:t>+0.408</w:t>
            </w:r>
          </w:p>
        </w:tc>
        <w:tc>
          <w:tcPr>
            <w:tcW w:type="dxa" w:w="1296"/>
          </w:tcPr>
          <w:p>
            <w:r>
              <w:rPr>
                <w:sz w:val="18"/>
              </w:rPr>
              <w:t>16.4%</w:t>
            </w:r>
          </w:p>
        </w:tc>
      </w:tr>
    </w:tbl>
    <w:p/>
    <w:p>
      <w:pPr>
        <w:jc w:val="left"/>
      </w:pPr>
      <w:r>
        <w:rPr>
          <w:i/>
          <w:color w:val="52514E"/>
          <w:sz w:val="18"/>
        </w:rPr>
        <w:t>Table 3. Both gaps, every configuration.</w:t>
      </w:r>
    </w:p>
    <w:p>
      <w:r>
        <w:t>The best configuration is area_040: 584 sites, a gap of +0.128 to the constrained null against Run 0's +0.064 and Run 1's +0.084. It retains 79 per cent more sites than Run 1 and returns a gap half again as large.</w:t>
      </w:r>
    </w:p>
    <w:p>
      <w:pPr>
        <w:jc w:val="center"/>
      </w:pPr>
      <w:r>
        <w:drawing>
          <wp:inline xmlns:a="http://schemas.openxmlformats.org/drawingml/2006/main" xmlns:pic="http://schemas.openxmlformats.org/drawingml/2006/picture">
            <wp:extent cx="5852160" cy="3269273"/>
            <wp:docPr id="2" name="Picture 2"/>
            <wp:cNvGraphicFramePr>
              <a:graphicFrameLocks noChangeAspect="1"/>
            </wp:cNvGraphicFramePr>
            <a:graphic>
              <a:graphicData uri="http://schemas.openxmlformats.org/drawingml/2006/picture">
                <pic:pic>
                  <pic:nvPicPr>
                    <pic:cNvPr id="0" name="fig_02_gap_to_null.png"/>
                    <pic:cNvPicPr/>
                  </pic:nvPicPr>
                  <pic:blipFill>
                    <a:blip r:embed="rId10"/>
                    <a:stretch>
                      <a:fillRect/>
                    </a:stretch>
                  </pic:blipFill>
                  <pic:spPr>
                    <a:xfrm>
                      <a:off x="0" y="0"/>
                      <a:ext cx="5852160" cy="3269273"/>
                    </a:xfrm>
                    <a:prstGeom prst="rect"/>
                  </pic:spPr>
                </pic:pic>
              </a:graphicData>
            </a:graphic>
          </wp:inline>
        </w:drawing>
      </w:r>
    </w:p>
    <w:p>
      <w:pPr>
        <w:jc w:val="left"/>
      </w:pPr>
      <w:r>
        <w:rPr>
          <w:i/>
          <w:color w:val="52514E"/>
          <w:sz w:val="18"/>
        </w:rPr>
        <w:t>Figure 2. Skill above the constrained null - the only axis the area floor does not inflate. The dashed line is Run 0.</w:t>
      </w:r>
    </w:p>
    <w:p>
      <w:r>
        <w:t>Two results in that figure deserve comment rather than celebration. The sweep is not monotone: the 0.20 ha floor falls BELOW its own null at -0.033 while 0.10 and 0.25 sit above it. With a few hundred sites and a rank correlation this small, differences of 0.03 to 0.05 are within what the sample can resolve, so the useful reading is the block from 0.30 ha upward, where the gap is consistently 0.107 to 0.128, rather than any single floor.</w:t>
      </w:r>
    </w:p>
    <w:p>
      <w:r>
        <w:t>And applying BOTH filters together is worse than either alone: 0.25 ha plus the maturity filter leaves 298 sites and a gap of -0.007, below zero. The two are redundant, not complementary - they remove the same records - and stacking them removes the variation the matching needs in order to have anything to rank.</w:t>
      </w:r>
    </w:p>
    <w:p>
      <w:pPr>
        <w:jc w:val="center"/>
      </w:pPr>
      <w:r>
        <w:drawing>
          <wp:inline xmlns:a="http://schemas.openxmlformats.org/drawingml/2006/main" xmlns:pic="http://schemas.openxmlformats.org/drawingml/2006/picture">
            <wp:extent cx="5852160" cy="3934808"/>
            <wp:docPr id="3" name="Picture 3"/>
            <wp:cNvGraphicFramePr>
              <a:graphicFrameLocks noChangeAspect="1"/>
            </wp:cNvGraphicFramePr>
            <a:graphic>
              <a:graphicData uri="http://schemas.openxmlformats.org/drawingml/2006/picture">
                <pic:pic>
                  <pic:nvPicPr>
                    <pic:cNvPr id="0" name="fig_03_tradeoff.png"/>
                    <pic:cNvPicPr/>
                  </pic:nvPicPr>
                  <pic:blipFill>
                    <a:blip r:embed="rId11"/>
                    <a:stretch>
                      <a:fillRect/>
                    </a:stretch>
                  </pic:blipFill>
                  <pic:spPr>
                    <a:xfrm>
                      <a:off x="0" y="0"/>
                      <a:ext cx="5852160" cy="3934808"/>
                    </a:xfrm>
                    <a:prstGeom prst="rect"/>
                  </pic:spPr>
                </pic:pic>
              </a:graphicData>
            </a:graphic>
          </wp:inline>
        </w:drawing>
      </w:r>
    </w:p>
    <w:p>
      <w:pPr>
        <w:jc w:val="left"/>
      </w:pPr>
      <w:r>
        <w:rPr>
          <w:i/>
          <w:color w:val="52514E"/>
          <w:sz w:val="18"/>
        </w:rPr>
        <w:t>Figure 3. What each filter costs in sites and returns in skill.</w:t>
      </w:r>
    </w:p>
    <w:p>
      <w:pPr>
        <w:pStyle w:val="Heading1"/>
      </w:pPr>
      <w:r>
        <w:t>What to conclude</w:t>
      </w:r>
    </w:p>
    <w:p>
      <w:pPr>
        <w:pStyle w:val="ListBullet"/>
      </w:pPr>
      <w:r>
        <w:t>Run 1's hypothesis was right about the effect and wrong about the cause. The likely-mature half was dragging the numbers down, but because those plots are small, not because those stands are immature.</w:t>
      </w:r>
    </w:p>
    <w:p>
      <w:pPr>
        <w:pStyle w:val="ListBullet"/>
      </w:pPr>
      <w:r>
        <w:t>A plot-area floor is the better filter. At 0.40 ha it keeps 584 sites against Run 1's 327 - 79 per cent more - and returns a gap to the constrained null of +0.128 against Run 1's +0.084.</w:t>
      </w:r>
    </w:p>
    <w:p>
      <w:pPr>
        <w:pStyle w:val="ListBullet"/>
      </w:pPr>
      <w:r>
        <w:t>The present-day gate failure is largely an artefact. With a 0.40 ha floor M'/AGB is 1.275 rather than 0.465 - M' sits above observed biomass, which is what a maximum should do. That is a statement about the library's plot sizes, not a vindication of M', because the null moves the same way; but the published under-prediction should not be quoted without it.</w:t>
      </w:r>
    </w:p>
    <w:p>
      <w:pPr>
        <w:pStyle w:val="ListBullet"/>
      </w:pPr>
      <w:r>
        <w:t>Do not stack the two filters. Together they leave 298 sites and no skill above the null at all.</w:t>
      </w:r>
    </w:p>
    <w:p>
      <w:pPr>
        <w:pStyle w:val="ListBullet"/>
      </w:pPr>
      <w:r>
        <w:t>Choose the floor from the 0.30-0.50 ha block, not from a single value. The sweep is not monotone below 0.30 ha and the differences there are within what a few hundred sites can resolve.</w:t>
      </w:r>
    </w:p>
    <w:p>
      <w:pPr>
        <w:pStyle w:val="ListBullet"/>
      </w:pPr>
      <w:r>
        <w:t>This remains a one-change test against Run 0 and inherits its limits: the late-century high-forcing windows are extrapolation under every configuration, and no floor repairs that.</w:t>
      </w:r>
    </w:p>
    <w:p>
      <w:pPr>
        <w:pStyle w:val="Heading1"/>
      </w:pPr>
      <w:r>
        <w:t>Files</w:t>
      </w:r>
    </w:p>
    <w:tbl>
      <w:tblPr>
        <w:tblStyle w:val="LightGrid-Accent1"/>
        <w:tblW w:type="auto" w:w="0"/>
        <w:tblLook w:firstColumn="1" w:firstRow="1" w:lastColumn="0" w:lastRow="0" w:noHBand="0" w:noVBand="1" w:val="04A0"/>
      </w:tblPr>
      <w:tblGrid>
        <w:gridCol w:w="4320"/>
        <w:gridCol w:w="4320"/>
      </w:tblGrid>
      <w:tr>
        <w:tc>
          <w:tcPr>
            <w:tcW w:type="dxa" w:w="3312"/>
          </w:tcPr>
          <w:p>
            <w:r>
              <w:rPr>
                <w:b/>
                <w:sz w:val="18"/>
              </w:rPr>
              <w:t>file</w:t>
            </w:r>
          </w:p>
        </w:tc>
        <w:tc>
          <w:tcPr>
            <w:tcW w:type="dxa" w:w="5328"/>
          </w:tcPr>
          <w:p>
            <w:r>
              <w:rPr>
                <w:b/>
                <w:sz w:val="18"/>
              </w:rPr>
              <w:t>what it holds</w:t>
            </w:r>
          </w:p>
        </w:tc>
      </w:tr>
      <w:tr>
        <w:tc>
          <w:tcPr>
            <w:tcW w:type="dxa" w:w="3312"/>
          </w:tcPr>
          <w:p>
            <w:r>
              <w:rPr>
                <w:sz w:val="18"/>
              </w:rPr>
              <w:t>Step_01_run_area_floors.py</w:t>
            </w:r>
          </w:p>
        </w:tc>
        <w:tc>
          <w:tcPr>
            <w:tcW w:type="dxa" w:w="5328"/>
          </w:tcPr>
          <w:p>
            <w:r>
              <w:rPr>
                <w:sz w:val="18"/>
              </w:rPr>
              <w:t>the nine configurations</w:t>
            </w:r>
          </w:p>
        </w:tc>
      </w:tr>
      <w:tr>
        <w:tc>
          <w:tcPr>
            <w:tcW w:type="dxa" w:w="3312"/>
          </w:tcPr>
          <w:p>
            <w:r>
              <w:rPr>
                <w:sz w:val="18"/>
              </w:rPr>
              <w:t>Step_02_compare.py</w:t>
            </w:r>
          </w:p>
        </w:tc>
        <w:tc>
          <w:tcPr>
            <w:tcW w:type="dxa" w:w="5328"/>
          </w:tcPr>
          <w:p>
            <w:r>
              <w:rPr>
                <w:sz w:val="18"/>
              </w:rPr>
              <w:t>the comparison and the figures</w:t>
            </w:r>
          </w:p>
        </w:tc>
      </w:tr>
      <w:tr>
        <w:tc>
          <w:tcPr>
            <w:tcW w:type="dxa" w:w="3312"/>
          </w:tcPr>
          <w:p>
            <w:r>
              <w:rPr>
                <w:sz w:val="18"/>
              </w:rPr>
              <w:t>Step_03_write_report.py</w:t>
            </w:r>
          </w:p>
        </w:tc>
        <w:tc>
          <w:tcPr>
            <w:tcW w:type="dxa" w:w="5328"/>
          </w:tcPr>
          <w:p>
            <w:r>
              <w:rPr>
                <w:sz w:val="18"/>
              </w:rPr>
              <w:t>this document</w:t>
            </w:r>
          </w:p>
        </w:tc>
      </w:tr>
      <w:tr>
        <w:tc>
          <w:tcPr>
            <w:tcW w:type="dxa" w:w="3312"/>
          </w:tcPr>
          <w:p>
            <w:r>
              <w:rPr>
                <w:sz w:val="18"/>
              </w:rPr>
              <w:t>outputs/config_matrix.csv</w:t>
            </w:r>
          </w:p>
        </w:tc>
        <w:tc>
          <w:tcPr>
            <w:tcW w:type="dxa" w:w="5328"/>
          </w:tcPr>
          <w:p>
            <w:r>
              <w:rPr>
                <w:sz w:val="18"/>
              </w:rPr>
              <w:t>what each configuration is</w:t>
            </w:r>
          </w:p>
        </w:tc>
      </w:tr>
      <w:tr>
        <w:tc>
          <w:tcPr>
            <w:tcW w:type="dxa" w:w="3312"/>
          </w:tcPr>
          <w:p>
            <w:r>
              <w:rPr>
                <w:sz w:val="18"/>
              </w:rPr>
              <w:t>outputs/area_floor_summary.csv</w:t>
            </w:r>
          </w:p>
        </w:tc>
        <w:tc>
          <w:tcPr>
            <w:tcW w:type="dxa" w:w="5328"/>
          </w:tcPr>
          <w:p>
            <w:r>
              <w:rPr>
                <w:sz w:val="18"/>
              </w:rPr>
              <w:t>one row per configuration per run</w:t>
            </w:r>
          </w:p>
        </w:tc>
      </w:tr>
      <w:tr>
        <w:tc>
          <w:tcPr>
            <w:tcW w:type="dxa" w:w="3312"/>
          </w:tcPr>
          <w:p>
            <w:r>
              <w:rPr>
                <w:sz w:val="18"/>
              </w:rPr>
              <w:t>outputs/area_floor_comparison.csv</w:t>
            </w:r>
          </w:p>
        </w:tc>
        <w:tc>
          <w:tcPr>
            <w:tcW w:type="dxa" w:w="5328"/>
          </w:tcPr>
          <w:p>
            <w:r>
              <w:rPr>
                <w:sz w:val="18"/>
              </w:rPr>
              <w:t>Tables 1-3</w:t>
            </w:r>
          </w:p>
        </w:tc>
      </w:tr>
      <w:tr>
        <w:tc>
          <w:tcPr>
            <w:tcW w:type="dxa" w:w="3312"/>
          </w:tcPr>
          <w:p>
            <w:r>
              <w:rPr>
                <w:sz w:val="18"/>
              </w:rPr>
              <w:t>outputs/&lt;config&gt;/matches.csv</w:t>
            </w:r>
          </w:p>
        </w:tc>
        <w:tc>
          <w:tcPr>
            <w:tcW w:type="dxa" w:w="5328"/>
          </w:tcPr>
          <w:p>
            <w:r>
              <w:rPr>
                <w:sz w:val="18"/>
              </w:rPr>
              <w:t>site-level matches</w:t>
            </w:r>
          </w:p>
        </w:tc>
      </w:tr>
      <w:tr>
        <w:tc>
          <w:tcPr>
            <w:tcW w:type="dxa" w:w="3312"/>
          </w:tcPr>
          <w:p>
            <w:r>
              <w:rPr>
                <w:sz w:val="18"/>
              </w:rPr>
              <w:t>plots/fig_01..03</w:t>
            </w:r>
          </w:p>
        </w:tc>
        <w:tc>
          <w:tcPr>
            <w:tcW w:type="dxa" w:w="5328"/>
          </w:tcPr>
          <w:p>
            <w:r>
              <w:rPr>
                <w:sz w:val="18"/>
              </w:rPr>
              <w:t>the figures in this report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