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3D62"/>
        </w:rPr>
        <w:t>Validation_GEDI: what was fixed, and how each step works</w:t>
      </w:r>
    </w:p>
    <w:p>
      <w:pPr>
        <w:spacing w:after="140" w:line="271" w:lineRule="auto"/>
      </w:pPr>
      <w:r>
        <w:rPr>
          <w:i/>
          <w:color w:val="606060"/>
          <w:sz w:val="19"/>
        </w:rPr>
        <w:t>Validation_GEDI/  ·  a corrected version of the GEDI pipeline in Option_B_matched_footing/Validation/files/  ·  the original is left untouched  ·  run end to end on all six regions</w:t>
      </w:r>
    </w:p>
    <w:p>
      <w:pPr>
        <w:pStyle w:val="Heading1"/>
      </w:pPr>
      <w:r>
        <w:rPr>
          <w:color w:val="0B3D62"/>
        </w:rPr>
        <w:t>Why this folder exists</w:t>
      </w:r>
    </w:p>
    <w:p>
      <w:pPr>
        <w:spacing w:after="140" w:line="271" w:lineRule="auto"/>
      </w:pPr>
      <w:r>
        <w:rPr>
          <w:i w:val="0"/>
          <w:color w:val="1A1A1A"/>
          <w:sz w:val="21"/>
        </w:rPr>
        <w:t>The GEDI plan in files/ is a good design. Its central idea — using the spread of GEDI footprints inside a single cell to estimate that cell's upper biomass envelope directly — is better than anything else available, because M is defined as a maximum and neither the National Biomass Library (one plot per location) nor the gridded GEDI L4B product (a mean) can produce such a thing.</w:t>
      </w:r>
    </w:p>
    <w:p>
      <w:pPr>
        <w:spacing w:after="140" w:line="271" w:lineRule="auto"/>
      </w:pPr>
      <w:r>
        <w:rPr>
          <w:i w:val="0"/>
          <w:color w:val="1A1A1A"/>
          <w:sz w:val="21"/>
        </w:rPr>
        <w:t>Three defects would have prevented it from working, or from producing a trustworthy answer. This folder fixes those three and changes nothing else.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432"/>
          </w:tcPr>
          <w:p>
            <w:r/>
            <w:r>
              <w:rPr>
                <w:b/>
                <w:sz w:val="17"/>
              </w:rPr>
              <w:t>#</w:t>
            </w:r>
          </w:p>
        </w:tc>
        <w:tc>
          <w:tcPr>
            <w:tcW w:type="dxa" w:w="2736"/>
          </w:tcPr>
          <w:p>
            <w:r/>
            <w:r>
              <w:rPr>
                <w:b/>
                <w:sz w:val="17"/>
              </w:rPr>
              <w:t>defect</w:t>
            </w:r>
          </w:p>
        </w:tc>
        <w:tc>
          <w:tcPr>
            <w:tcW w:type="dxa" w:w="3744"/>
          </w:tcPr>
          <w:p>
            <w:r/>
            <w:r>
              <w:rPr>
                <w:b/>
                <w:sz w:val="17"/>
              </w:rPr>
              <w:t>consequence if run as written</w:t>
            </w:r>
          </w:p>
        </w:tc>
        <w:tc>
          <w:tcPr>
            <w:tcW w:type="dxa" w:w="1008"/>
          </w:tcPr>
          <w:p>
            <w:r/>
            <w:r>
              <w:rPr>
                <w:b/>
                <w:sz w:val="17"/>
              </w:rPr>
              <w:t>status</w:t>
            </w:r>
          </w:p>
        </w:tc>
      </w:tr>
      <w:tr>
        <w:tc>
          <w:tcPr>
            <w:tcW w:type="dxa" w:w="432"/>
          </w:tcPr>
          <w:p>
            <w:r/>
            <w:r>
              <w:rPr>
                <w:sz w:val="17"/>
              </w:rPr>
              <w:t>1</w:t>
            </w:r>
          </w:p>
        </w:tc>
        <w:tc>
          <w:tcPr>
            <w:tcW w:type="dxa" w:w="2736"/>
          </w:tcPr>
          <w:p>
            <w:r/>
            <w:r>
              <w:rPr>
                <w:sz w:val="17"/>
              </w:rPr>
              <w:t>Aggregation grid offset half a cell from NLUM</w:t>
            </w:r>
          </w:p>
        </w:tc>
        <w:tc>
          <w:tcPr>
            <w:tcW w:type="dxa" w:w="3744"/>
          </w:tcPr>
          <w:p>
            <w:r/>
            <w:r>
              <w:rPr>
                <w:sz w:val="17"/>
              </w:rPr>
              <w:t>Every cell straddled two NLUM cells; M′ and FPI were sampled on a cell boundary</w:t>
            </w:r>
          </w:p>
        </w:tc>
        <w:tc>
          <w:tcPr>
            <w:tcW w:type="dxa" w:w="1008"/>
          </w:tcPr>
          <w:p>
            <w:r/>
            <w:r>
              <w:rPr>
                <w:sz w:val="17"/>
              </w:rPr>
              <w:t>FIXED</w:t>
            </w:r>
          </w:p>
        </w:tc>
      </w:tr>
      <w:tr>
        <w:tc>
          <w:tcPr>
            <w:tcW w:type="dxa" w:w="432"/>
          </w:tcPr>
          <w:p>
            <w:r/>
            <w:r>
              <w:rPr>
                <w:sz w:val="17"/>
              </w:rPr>
              <w:t>2</w:t>
            </w:r>
          </w:p>
        </w:tc>
        <w:tc>
          <w:tcPr>
            <w:tcW w:type="dxa" w:w="2736"/>
          </w:tcPr>
          <w:p>
            <w:r/>
            <w:r>
              <w:rPr>
                <w:sz w:val="17"/>
              </w:rPr>
              <w:t>GEDI collection short name did not resolve</w:t>
            </w:r>
          </w:p>
        </w:tc>
        <w:tc>
          <w:tcPr>
            <w:tcW w:type="dxa" w:w="3744"/>
          </w:tcPr>
          <w:p>
            <w:r/>
            <w:r>
              <w:rPr>
                <w:sz w:val="17"/>
              </w:rPr>
              <w:t>Zero granules returned for every region — the download would have found nothing</w:t>
            </w:r>
          </w:p>
        </w:tc>
        <w:tc>
          <w:tcPr>
            <w:tcW w:type="dxa" w:w="1008"/>
          </w:tcPr>
          <w:p>
            <w:r/>
            <w:r>
              <w:rPr>
                <w:sz w:val="17"/>
              </w:rPr>
              <w:t>FIXED</w:t>
            </w:r>
          </w:p>
        </w:tc>
      </w:tr>
      <w:tr>
        <w:tc>
          <w:tcPr>
            <w:tcW w:type="dxa" w:w="432"/>
          </w:tcPr>
          <w:p>
            <w:r/>
            <w:r>
              <w:rPr>
                <w:sz w:val="17"/>
              </w:rPr>
              <w:t>3</w:t>
            </w:r>
          </w:p>
        </w:tc>
        <w:tc>
          <w:tcPr>
            <w:tcW w:type="dxa" w:w="2736"/>
          </w:tcPr>
          <w:p>
            <w:r/>
            <w:r>
              <w:rPr>
                <w:sz w:val="17"/>
              </w:rPr>
              <w:t>No fire masking, with Black Summer inside the record</w:t>
            </w:r>
          </w:p>
        </w:tc>
        <w:tc>
          <w:tcPr>
            <w:tcW w:type="dxa" w:w="3744"/>
          </w:tcPr>
          <w:p>
            <w:r/>
            <w:r>
              <w:rPr>
                <w:sz w:val="17"/>
              </w:rPr>
              <w:t>Burnt canopy could manufacture, amplify or conceal the very result being tested</w:t>
            </w:r>
          </w:p>
        </w:tc>
        <w:tc>
          <w:tcPr>
            <w:tcW w:type="dxa" w:w="1008"/>
          </w:tcPr>
          <w:p>
            <w:r/>
            <w:r>
              <w:rPr>
                <w:sz w:val="17"/>
              </w:rPr>
              <w:t>FIXED</w:t>
            </w:r>
          </w:p>
        </w:tc>
      </w:tr>
    </w:tbl>
    <w:p>
      <w:pPr>
        <w:spacing w:after="40"/>
      </w:pPr>
    </w:p>
    <w:p>
      <w:pPr>
        <w:pStyle w:val="Heading1"/>
      </w:pPr>
      <w:r>
        <w:rPr>
          <w:color w:val="0B3D62"/>
        </w:rPr>
        <w:t>Status: run end to end</w:t>
      </w:r>
    </w:p>
    <w:p>
      <w:pPr>
        <w:spacing w:after="140" w:line="271" w:lineRule="auto"/>
      </w:pPr>
      <w:r>
        <w:rPr>
          <w:i w:val="0"/>
          <w:color w:val="1A1A1A"/>
          <w:sz w:val="21"/>
        </w:rPr>
        <w:t>Steps 1 to 5 have been run on all six regions, first on vic_central as a pilot and then on the rest. GEDI L4A gave 12,341,125 footprints that passed every filter, acquired 2019-04-18 to 2024-11-27, in 267,863 NLUM cells. Cells with at least 30 footprints and no fire in the 10 years before acquisition: 133,429.</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2016"/>
          </w:tcPr>
          <w:p>
            <w:r/>
            <w:r>
              <w:rPr>
                <w:b/>
                <w:sz w:val="17"/>
              </w:rPr>
              <w:t>region</w:t>
            </w:r>
          </w:p>
        </w:tc>
        <w:tc>
          <w:tcPr>
            <w:tcW w:type="dxa" w:w="1440"/>
          </w:tcPr>
          <w:p>
            <w:r/>
            <w:r>
              <w:rPr>
                <w:b/>
                <w:sz w:val="17"/>
              </w:rPr>
              <w:t>granules with footprints</w:t>
            </w:r>
          </w:p>
        </w:tc>
        <w:tc>
          <w:tcPr>
            <w:tcW w:type="dxa" w:w="1440"/>
          </w:tcPr>
          <w:p>
            <w:r/>
            <w:r>
              <w:rPr>
                <w:b/>
                <w:sz w:val="17"/>
              </w:rPr>
              <w:t>footprints</w:t>
            </w:r>
          </w:p>
        </w:tc>
        <w:tc>
          <w:tcPr>
            <w:tcW w:type="dxa" w:w="1296"/>
          </w:tcPr>
          <w:p>
            <w:r/>
            <w:r>
              <w:rPr>
                <w:b/>
                <w:sz w:val="17"/>
              </w:rPr>
              <w:t>cells ≥ 30</w:t>
            </w:r>
          </w:p>
        </w:tc>
        <w:tc>
          <w:tcPr>
            <w:tcW w:type="dxa" w:w="1440"/>
          </w:tcPr>
          <w:p>
            <w:r/>
            <w:r>
              <w:rPr>
                <w:b/>
                <w:sz w:val="17"/>
              </w:rPr>
              <w:t>cells ≥ 30, unburnt</w:t>
            </w:r>
          </w:p>
        </w:tc>
        <w:tc>
          <w:tcPr>
            <w:tcW w:type="dxa" w:w="1584"/>
          </w:tcPr>
          <w:p>
            <w:r/>
            <w:r>
              <w:rPr>
                <w:b/>
                <w:sz w:val="17"/>
              </w:rPr>
              <w:t>GEDI p95 &gt; New_M_2019</w:t>
            </w:r>
          </w:p>
        </w:tc>
      </w:tr>
      <w:tr>
        <w:tc>
          <w:tcPr>
            <w:tcW w:type="dxa" w:w="2016"/>
          </w:tcPr>
          <w:p>
            <w:r/>
            <w:r>
              <w:rPr>
                <w:sz w:val="17"/>
              </w:rPr>
              <w:t>vic_central</w:t>
            </w:r>
          </w:p>
        </w:tc>
        <w:tc>
          <w:tcPr>
            <w:tcW w:type="dxa" w:w="1440"/>
          </w:tcPr>
          <w:p>
            <w:r/>
            <w:r>
              <w:rPr>
                <w:sz w:val="17"/>
              </w:rPr>
              <w:t>282</w:t>
            </w:r>
          </w:p>
        </w:tc>
        <w:tc>
          <w:tcPr>
            <w:tcW w:type="dxa" w:w="1440"/>
          </w:tcPr>
          <w:p>
            <w:r/>
            <w:r>
              <w:rPr>
                <w:sz w:val="17"/>
              </w:rPr>
              <w:t>801,459</w:t>
            </w:r>
          </w:p>
        </w:tc>
        <w:tc>
          <w:tcPr>
            <w:tcW w:type="dxa" w:w="1296"/>
          </w:tcPr>
          <w:p>
            <w:r/>
            <w:r>
              <w:rPr>
                <w:sz w:val="17"/>
              </w:rPr>
              <w:t>10,901</w:t>
            </w:r>
          </w:p>
        </w:tc>
        <w:tc>
          <w:tcPr>
            <w:tcW w:type="dxa" w:w="1440"/>
          </w:tcPr>
          <w:p>
            <w:r/>
            <w:r>
              <w:rPr>
                <w:sz w:val="17"/>
              </w:rPr>
              <w:t>10,450</w:t>
            </w:r>
          </w:p>
        </w:tc>
        <w:tc>
          <w:tcPr>
            <w:tcW w:type="dxa" w:w="1584"/>
          </w:tcPr>
          <w:p>
            <w:r/>
            <w:r>
              <w:rPr>
                <w:sz w:val="17"/>
              </w:rPr>
              <w:t>62.6%</w:t>
            </w:r>
          </w:p>
        </w:tc>
      </w:tr>
      <w:tr>
        <w:tc>
          <w:tcPr>
            <w:tcW w:type="dxa" w:w="2016"/>
          </w:tcPr>
          <w:p>
            <w:r/>
            <w:r>
              <w:rPr>
                <w:sz w:val="17"/>
              </w:rPr>
              <w:t>vic_gippsland</w:t>
            </w:r>
          </w:p>
        </w:tc>
        <w:tc>
          <w:tcPr>
            <w:tcW w:type="dxa" w:w="1440"/>
          </w:tcPr>
          <w:p>
            <w:r/>
            <w:r>
              <w:rPr>
                <w:sz w:val="17"/>
              </w:rPr>
              <w:t>250</w:t>
            </w:r>
          </w:p>
        </w:tc>
        <w:tc>
          <w:tcPr>
            <w:tcW w:type="dxa" w:w="1440"/>
          </w:tcPr>
          <w:p>
            <w:r/>
            <w:r>
              <w:rPr>
                <w:sz w:val="17"/>
              </w:rPr>
              <w:t>640,667</w:t>
            </w:r>
          </w:p>
        </w:tc>
        <w:tc>
          <w:tcPr>
            <w:tcW w:type="dxa" w:w="1296"/>
          </w:tcPr>
          <w:p>
            <w:r/>
            <w:r>
              <w:rPr>
                <w:sz w:val="17"/>
              </w:rPr>
              <w:t>9,413</w:t>
            </w:r>
          </w:p>
        </w:tc>
        <w:tc>
          <w:tcPr>
            <w:tcW w:type="dxa" w:w="1440"/>
          </w:tcPr>
          <w:p>
            <w:r/>
            <w:r>
              <w:rPr>
                <w:sz w:val="17"/>
              </w:rPr>
              <w:t>5,156</w:t>
            </w:r>
          </w:p>
        </w:tc>
        <w:tc>
          <w:tcPr>
            <w:tcW w:type="dxa" w:w="1584"/>
          </w:tcPr>
          <w:p>
            <w:r/>
            <w:r>
              <w:rPr>
                <w:sz w:val="17"/>
              </w:rPr>
              <w:t>30.1%</w:t>
            </w:r>
          </w:p>
        </w:tc>
      </w:tr>
      <w:tr>
        <w:tc>
          <w:tcPr>
            <w:tcW w:type="dxa" w:w="2016"/>
          </w:tcPr>
          <w:p>
            <w:r/>
            <w:r>
              <w:rPr>
                <w:sz w:val="17"/>
              </w:rPr>
              <w:t>tasmania</w:t>
            </w:r>
          </w:p>
        </w:tc>
        <w:tc>
          <w:tcPr>
            <w:tcW w:type="dxa" w:w="1440"/>
          </w:tcPr>
          <w:p>
            <w:r/>
            <w:r>
              <w:rPr>
                <w:sz w:val="17"/>
              </w:rPr>
              <w:t>702</w:t>
            </w:r>
          </w:p>
        </w:tc>
        <w:tc>
          <w:tcPr>
            <w:tcW w:type="dxa" w:w="1440"/>
          </w:tcPr>
          <w:p>
            <w:r/>
            <w:r>
              <w:rPr>
                <w:sz w:val="17"/>
              </w:rPr>
              <w:t>2,668,146</w:t>
            </w:r>
          </w:p>
        </w:tc>
        <w:tc>
          <w:tcPr>
            <w:tcW w:type="dxa" w:w="1296"/>
          </w:tcPr>
          <w:p>
            <w:r/>
            <w:r>
              <w:rPr>
                <w:sz w:val="17"/>
              </w:rPr>
              <w:t>38,352</w:t>
            </w:r>
          </w:p>
        </w:tc>
        <w:tc>
          <w:tcPr>
            <w:tcW w:type="dxa" w:w="1440"/>
          </w:tcPr>
          <w:p>
            <w:r/>
            <w:r>
              <w:rPr>
                <w:sz w:val="17"/>
              </w:rPr>
              <w:t>36,072</w:t>
            </w:r>
          </w:p>
        </w:tc>
        <w:tc>
          <w:tcPr>
            <w:tcW w:type="dxa" w:w="1584"/>
          </w:tcPr>
          <w:p>
            <w:r/>
            <w:r>
              <w:rPr>
                <w:sz w:val="17"/>
              </w:rPr>
              <w:t>52.5%</w:t>
            </w:r>
          </w:p>
        </w:tc>
      </w:tr>
      <w:tr>
        <w:tc>
          <w:tcPr>
            <w:tcW w:type="dxa" w:w="2016"/>
          </w:tcPr>
          <w:p>
            <w:r/>
            <w:r>
              <w:rPr>
                <w:sz w:val="17"/>
              </w:rPr>
              <w:t>nsw_southeast</w:t>
            </w:r>
          </w:p>
        </w:tc>
        <w:tc>
          <w:tcPr>
            <w:tcW w:type="dxa" w:w="1440"/>
          </w:tcPr>
          <w:p>
            <w:r/>
            <w:r>
              <w:rPr>
                <w:sz w:val="17"/>
              </w:rPr>
              <w:t>618</w:t>
            </w:r>
          </w:p>
        </w:tc>
        <w:tc>
          <w:tcPr>
            <w:tcW w:type="dxa" w:w="1440"/>
          </w:tcPr>
          <w:p>
            <w:r/>
            <w:r>
              <w:rPr>
                <w:sz w:val="17"/>
              </w:rPr>
              <w:t>2,224,494</w:t>
            </w:r>
          </w:p>
        </w:tc>
        <w:tc>
          <w:tcPr>
            <w:tcW w:type="dxa" w:w="1296"/>
          </w:tcPr>
          <w:p>
            <w:r/>
            <w:r>
              <w:rPr>
                <w:sz w:val="17"/>
              </w:rPr>
              <w:t>31,724</w:t>
            </w:r>
          </w:p>
        </w:tc>
        <w:tc>
          <w:tcPr>
            <w:tcW w:type="dxa" w:w="1440"/>
          </w:tcPr>
          <w:p>
            <w:r/>
            <w:r>
              <w:rPr>
                <w:sz w:val="17"/>
              </w:rPr>
              <w:t>19,266</w:t>
            </w:r>
          </w:p>
        </w:tc>
        <w:tc>
          <w:tcPr>
            <w:tcW w:type="dxa" w:w="1584"/>
          </w:tcPr>
          <w:p>
            <w:r/>
            <w:r>
              <w:rPr>
                <w:sz w:val="17"/>
              </w:rPr>
              <w:t>46.5%</w:t>
            </w:r>
          </w:p>
        </w:tc>
      </w:tr>
      <w:tr>
        <w:tc>
          <w:tcPr>
            <w:tcW w:type="dxa" w:w="2016"/>
          </w:tcPr>
          <w:p>
            <w:r/>
            <w:r>
              <w:rPr>
                <w:sz w:val="17"/>
              </w:rPr>
              <w:t>nsw_north_seqld</w:t>
            </w:r>
          </w:p>
        </w:tc>
        <w:tc>
          <w:tcPr>
            <w:tcW w:type="dxa" w:w="1440"/>
          </w:tcPr>
          <w:p>
            <w:r/>
            <w:r>
              <w:rPr>
                <w:sz w:val="17"/>
              </w:rPr>
              <w:t>617</w:t>
            </w:r>
          </w:p>
        </w:tc>
        <w:tc>
          <w:tcPr>
            <w:tcW w:type="dxa" w:w="1440"/>
          </w:tcPr>
          <w:p>
            <w:r/>
            <w:r>
              <w:rPr>
                <w:sz w:val="17"/>
              </w:rPr>
              <w:t>3,536,260</w:t>
            </w:r>
          </w:p>
        </w:tc>
        <w:tc>
          <w:tcPr>
            <w:tcW w:type="dxa" w:w="1296"/>
          </w:tcPr>
          <w:p>
            <w:r/>
            <w:r>
              <w:rPr>
                <w:sz w:val="17"/>
              </w:rPr>
              <w:t>50,553</w:t>
            </w:r>
          </w:p>
        </w:tc>
        <w:tc>
          <w:tcPr>
            <w:tcW w:type="dxa" w:w="1440"/>
          </w:tcPr>
          <w:p>
            <w:r/>
            <w:r>
              <w:rPr>
                <w:sz w:val="17"/>
              </w:rPr>
              <w:t>36,374</w:t>
            </w:r>
          </w:p>
        </w:tc>
        <w:tc>
          <w:tcPr>
            <w:tcW w:type="dxa" w:w="1584"/>
          </w:tcPr>
          <w:p>
            <w:r/>
            <w:r>
              <w:rPr>
                <w:sz w:val="17"/>
              </w:rPr>
              <w:t>61.7%</w:t>
            </w:r>
          </w:p>
        </w:tc>
      </w:tr>
      <w:tr>
        <w:tc>
          <w:tcPr>
            <w:tcW w:type="dxa" w:w="2016"/>
          </w:tcPr>
          <w:p>
            <w:r/>
            <w:r>
              <w:rPr>
                <w:sz w:val="17"/>
              </w:rPr>
              <w:t>wa_southwest</w:t>
            </w:r>
          </w:p>
        </w:tc>
        <w:tc>
          <w:tcPr>
            <w:tcW w:type="dxa" w:w="1440"/>
          </w:tcPr>
          <w:p>
            <w:r/>
            <w:r>
              <w:rPr>
                <w:sz w:val="17"/>
              </w:rPr>
              <w:t>450</w:t>
            </w:r>
          </w:p>
        </w:tc>
        <w:tc>
          <w:tcPr>
            <w:tcW w:type="dxa" w:w="1440"/>
          </w:tcPr>
          <w:p>
            <w:r/>
            <w:r>
              <w:rPr>
                <w:sz w:val="17"/>
              </w:rPr>
              <w:t>2,470,099</w:t>
            </w:r>
          </w:p>
        </w:tc>
        <w:tc>
          <w:tcPr>
            <w:tcW w:type="dxa" w:w="1296"/>
          </w:tcPr>
          <w:p>
            <w:r/>
            <w:r>
              <w:rPr>
                <w:sz w:val="17"/>
              </w:rPr>
              <w:t>33,847</w:t>
            </w:r>
          </w:p>
        </w:tc>
        <w:tc>
          <w:tcPr>
            <w:tcW w:type="dxa" w:w="1440"/>
          </w:tcPr>
          <w:p>
            <w:r/>
            <w:r>
              <w:rPr>
                <w:sz w:val="17"/>
              </w:rPr>
              <w:t>26,111</w:t>
            </w:r>
          </w:p>
        </w:tc>
        <w:tc>
          <w:tcPr>
            <w:tcW w:type="dxa" w:w="1584"/>
          </w:tcPr>
          <w:p>
            <w:r/>
            <w:r>
              <w:rPr>
                <w:sz w:val="17"/>
              </w:rPr>
              <w:t>22.0%</w:t>
            </w:r>
          </w:p>
        </w:tc>
      </w:tr>
      <w:tr>
        <w:tc>
          <w:tcPr>
            <w:tcW w:type="dxa" w:w="2016"/>
          </w:tcPr>
          <w:p>
            <w:r/>
            <w:r>
              <w:rPr>
                <w:sz w:val="17"/>
              </w:rPr>
              <w:t>TOTAL</w:t>
            </w:r>
          </w:p>
        </w:tc>
        <w:tc>
          <w:tcPr>
            <w:tcW w:type="dxa" w:w="1440"/>
          </w:tcPr>
          <w:p>
            <w:r/>
            <w:r>
              <w:rPr>
                <w:sz w:val="17"/>
              </w:rPr>
              <w:t>2,497</w:t>
            </w:r>
          </w:p>
        </w:tc>
        <w:tc>
          <w:tcPr>
            <w:tcW w:type="dxa" w:w="1440"/>
          </w:tcPr>
          <w:p>
            <w:r/>
            <w:r>
              <w:rPr>
                <w:sz w:val="17"/>
              </w:rPr>
              <w:t>12,341,125</w:t>
            </w:r>
          </w:p>
        </w:tc>
        <w:tc>
          <w:tcPr>
            <w:tcW w:type="dxa" w:w="1296"/>
          </w:tcPr>
          <w:p>
            <w:r/>
            <w:r>
              <w:rPr>
                <w:sz w:val="17"/>
              </w:rPr>
              <w:t>174,790</w:t>
            </w:r>
          </w:p>
        </w:tc>
        <w:tc>
          <w:tcPr>
            <w:tcW w:type="dxa" w:w="1440"/>
          </w:tcPr>
          <w:p>
            <w:r/>
            <w:r>
              <w:rPr>
                <w:sz w:val="17"/>
              </w:rPr>
              <w:t>133,429</w:t>
            </w:r>
          </w:p>
        </w:tc>
        <w:tc>
          <w:tcPr>
            <w:tcW w:type="dxa" w:w="1584"/>
          </w:tcPr>
          <w:p>
            <w:r/>
            <w:r>
              <w:rPr>
                <w:sz w:val="17"/>
              </w:rPr>
              <w:t>48.1%</w:t>
            </w:r>
          </w:p>
        </w:tc>
      </w:tr>
    </w:tbl>
    <w:p>
      <w:pPr>
        <w:spacing w:after="40"/>
      </w:pPr>
    </w:p>
    <w:p>
      <w:pPr>
        <w:spacing w:after="140" w:line="271" w:lineRule="auto"/>
      </w:pPr>
      <w:r>
        <w:rPr>
          <w:i w:val="0"/>
          <w:color w:val="1A1A1A"/>
          <w:sz w:val="20"/>
        </w:rPr>
        <w:t>Granules crossing two boxes are counted in each region, so the region column does not sum to the total. The results, for both present-day M′ layers, are written up in Validation_GEDI_report.docx. In short: M′ ranks cells the right way in every region (no inversion), but it sits below GEDI's upper envelope in most closed evergreen broadleaf forest.</w:t>
      </w:r>
    </w:p>
    <w:p>
      <w:r>
        <w:br w:type="page"/>
      </w:r>
    </w:p>
    <w:p>
      <w:pPr>
        <w:pStyle w:val="Heading1"/>
      </w:pPr>
      <w:r>
        <w:rPr>
          <w:color w:val="0B3D62"/>
        </w:rPr>
        <w:t>Fix 1 — the aggregation grid</w:t>
      </w:r>
    </w:p>
    <w:p>
      <w:pPr>
        <w:spacing w:after="140" w:line="271" w:lineRule="auto"/>
      </w:pPr>
      <w:r>
        <w:rPr>
          <w:i w:val="0"/>
          <w:color w:val="1A1A1A"/>
          <w:sz w:val="21"/>
        </w:rPr>
        <w:t>The original assigned each footprint to a cell with</w:t>
      </w:r>
    </w:p>
    <w:p>
      <w:pPr>
        <w:spacing w:after="20"/>
        <w:ind w:left="432"/>
      </w:pPr>
      <w:r>
        <w:rPr>
          <w:rFonts w:ascii="Consolas" w:hAnsi="Consolas"/>
          <w:color w:val="222222"/>
          <w:sz w:val="17"/>
        </w:rPr>
        <w:t>cell_col = floor(lon / 0.01)</w:t>
      </w:r>
    </w:p>
    <w:p>
      <w:pPr>
        <w:spacing w:after="140" w:line="271" w:lineRule="auto"/>
      </w:pPr>
      <w:r>
        <w:rPr>
          <w:i w:val="0"/>
          <w:color w:val="1A1A1A"/>
          <w:sz w:val="21"/>
        </w:rPr>
        <w:t>which puts cell edges at multiples of 0.01: 145.36, 145.37, 145.38 and so on. NLUM's edges are at 112.925 + 0.01k, which gives 145.365, 145.375. The two grids are offset by exactly half a cell. Measured at a real longitude:</w:t>
      </w:r>
    </w:p>
    <w:p>
      <w:pPr>
        <w:spacing w:after="20"/>
        <w:ind w:left="432"/>
      </w:pPr>
      <w:r>
        <w:rPr>
          <w:rFonts w:ascii="Consolas" w:hAnsi="Consolas"/>
          <w:color w:val="222222"/>
          <w:sz w:val="17"/>
        </w:rPr>
        <w:t>for lon 145.3712</w:t>
      </w:r>
    </w:p>
    <w:p>
      <w:pPr>
        <w:spacing w:after="20"/>
        <w:ind w:left="432"/>
      </w:pPr>
      <w:r>
        <w:rPr>
          <w:rFonts w:ascii="Consolas" w:hAnsi="Consolas"/>
          <w:color w:val="222222"/>
          <w:sz w:val="17"/>
        </w:rPr>
        <w:t xml:space="preserve">  original 0.01-grid centre : 145.375000</w:t>
      </w:r>
    </w:p>
    <w:p>
      <w:pPr>
        <w:spacing w:after="20"/>
        <w:ind w:left="432"/>
      </w:pPr>
      <w:r>
        <w:rPr>
          <w:rFonts w:ascii="Consolas" w:hAnsi="Consolas"/>
          <w:color w:val="222222"/>
          <w:sz w:val="17"/>
        </w:rPr>
        <w:t xml:space="preserve">  NLUM-derived centre       : 145.370000</w:t>
      </w:r>
    </w:p>
    <w:p>
      <w:pPr>
        <w:spacing w:after="20"/>
        <w:ind w:left="432"/>
      </w:pPr>
      <w:r>
        <w:rPr>
          <w:rFonts w:ascii="Consolas" w:hAnsi="Consolas"/>
          <w:color w:val="222222"/>
          <w:sz w:val="17"/>
        </w:rPr>
        <w:t xml:space="preserve">  offset                    : 0.005000 deg = 0.50 of a cell</w:t>
      </w:r>
    </w:p>
    <w:p>
      <w:pPr>
        <w:spacing w:after="140" w:line="271" w:lineRule="auto"/>
      </w:pPr>
      <w:r>
        <w:rPr>
          <w:b w:val="0"/>
          <w:color w:val="1A1A1A"/>
          <w:sz w:val="21"/>
        </w:rPr>
        <w:t xml:space="preserve">Two things went wrong as a result. Each aggregation cell straddled two NLUM cells, so the footprints pooled together did not belong to one M′ value. And the point at which M′ and FPI were sampled fell </w:t>
      </w:r>
      <w:r>
        <w:rPr>
          <w:b/>
          <w:color w:val="1A1A1A"/>
          <w:sz w:val="21"/>
        </w:rPr>
        <w:t>on an NLUM cell boundary</w:t>
      </w:r>
      <w:r>
        <w:rPr>
          <w:b w:val="0"/>
          <w:color w:val="1A1A1A"/>
          <w:sz w:val="21"/>
        </w:rPr>
        <w:t>, where the value returned depends on a rounding decision rather than on the data. This is the same trap CLAUDE.md records for ANUClimate, whose cell centres land exactly on NLUM's edges.</w:t>
      </w:r>
    </w:p>
    <w:p>
      <w:pPr>
        <w:spacing w:after="80"/>
        <w:ind w:left="288"/>
      </w:pPr>
      <w:r>
        <w:rPr>
          <w:b/>
          <w:color w:val="1E6B3A"/>
          <w:sz w:val="20"/>
        </w:rPr>
        <w:t>How it is fixed</w:t>
      </w:r>
    </w:p>
    <w:p>
      <w:pPr>
        <w:spacing w:after="200" w:line="271" w:lineRule="auto"/>
        <w:ind w:left="288"/>
      </w:pPr>
      <w:r>
        <w:rPr>
          <w:color w:val="1A1A1A"/>
          <w:sz w:val="21"/>
        </w:rPr>
        <w:t>common.cell_index() derives the grid from NLUM's own transform, so a GEDI aggregation cell IS an NLUM cell by construction rather than by coincidence. Step 3 stamps nlum_row, nlum_col and cell_id onto every footprint at extraction time, and Step 4 samples M′ and FPI by array index rather than by coordinate. Nothing downstream can reinvent a misaligned grid, because no downstream step ever computes a cell from a longitude again.</w:t>
      </w:r>
    </w:p>
    <w:p>
      <w:pPr>
        <w:pStyle w:val="Heading1"/>
      </w:pPr>
      <w:r>
        <w:rPr>
          <w:color w:val="0B3D62"/>
        </w:rPr>
        <w:t>Fix 2 — the collection short name</w:t>
      </w:r>
    </w:p>
    <w:p>
      <w:pPr>
        <w:spacing w:after="140" w:line="271" w:lineRule="auto"/>
      </w:pPr>
      <w:r>
        <w:rPr>
          <w:i w:val="0"/>
          <w:color w:val="1A1A1A"/>
          <w:sz w:val="21"/>
        </w:rPr>
        <w:t>The original pinned a short name that does not exist in NASA's metadata catalogue. A direct query with it returns zero granules for all six regions, so the download would have silently found nothing.</w:t>
      </w:r>
    </w:p>
    <w:tbl>
      <w:tblPr>
        <w:tblStyle w:val="LightGrid-Accent1"/>
        <w:tblW w:type="auto" w:w="0"/>
        <w:jc w:val="center"/>
        <w:tblLook w:firstColumn="1" w:firstRow="1" w:lastColumn="0" w:lastRow="0" w:noHBand="0" w:noVBand="1" w:val="04A0"/>
      </w:tblPr>
      <w:tblGrid>
        <w:gridCol w:w="4320"/>
        <w:gridCol w:w="4320"/>
      </w:tblGrid>
      <w:tr>
        <w:tc>
          <w:tcPr>
            <w:tcW w:type="dxa" w:w="2880"/>
          </w:tcPr>
          <w:p>
            <w:r/>
            <w:r>
              <w:rPr>
                <w:b/>
                <w:sz w:val="17"/>
              </w:rPr>
            </w:r>
          </w:p>
        </w:tc>
        <w:tc>
          <w:tcPr>
            <w:tcW w:type="dxa" w:w="6048"/>
          </w:tcPr>
          <w:p>
            <w:r/>
            <w:r>
              <w:rPr>
                <w:b/>
                <w:sz w:val="17"/>
              </w:rPr>
              <w:t>value</w:t>
            </w:r>
          </w:p>
        </w:tc>
      </w:tr>
      <w:tr>
        <w:tc>
          <w:tcPr>
            <w:tcW w:type="dxa" w:w="2880"/>
          </w:tcPr>
          <w:p>
            <w:r/>
            <w:r>
              <w:rPr>
                <w:sz w:val="17"/>
              </w:rPr>
              <w:t>original script used</w:t>
            </w:r>
          </w:p>
        </w:tc>
        <w:tc>
          <w:tcPr>
            <w:tcW w:type="dxa" w:w="6048"/>
          </w:tcPr>
          <w:p>
            <w:r/>
            <w:r>
              <w:rPr>
                <w:sz w:val="17"/>
              </w:rPr>
              <w:t>GEDI_L4A_AGB_Density_V2_1   (0 granules)</w:t>
            </w:r>
          </w:p>
        </w:tc>
      </w:tr>
      <w:tr>
        <w:tc>
          <w:tcPr>
            <w:tcW w:type="dxa" w:w="2880"/>
          </w:tcPr>
          <w:p>
            <w:r/>
            <w:r>
              <w:rPr>
                <w:sz w:val="17"/>
              </w:rPr>
              <w:t>actual short name in CMR</w:t>
            </w:r>
          </w:p>
        </w:tc>
        <w:tc>
          <w:tcPr>
            <w:tcW w:type="dxa" w:w="6048"/>
          </w:tcPr>
          <w:p>
            <w:r/>
            <w:r>
              <w:rPr>
                <w:sz w:val="17"/>
              </w:rPr>
              <w:t>GEDI_L4A_AGB_Density_V2_1_2056</w:t>
            </w:r>
          </w:p>
        </w:tc>
      </w:tr>
      <w:tr>
        <w:tc>
          <w:tcPr>
            <w:tcW w:type="dxa" w:w="2880"/>
          </w:tcPr>
          <w:p>
            <w:r/>
            <w:r>
              <w:rPr>
                <w:sz w:val="17"/>
              </w:rPr>
              <w:t>concept id</w:t>
            </w:r>
          </w:p>
        </w:tc>
        <w:tc>
          <w:tcPr>
            <w:tcW w:type="dxa" w:w="6048"/>
          </w:tcPr>
          <w:p>
            <w:r/>
            <w:r>
              <w:rPr>
                <w:sz w:val="17"/>
              </w:rPr>
              <w:t>C2237824918-ORNL_CLOUD</w:t>
            </w:r>
          </w:p>
        </w:tc>
      </w:tr>
      <w:tr>
        <w:tc>
          <w:tcPr>
            <w:tcW w:type="dxa" w:w="2880"/>
          </w:tcPr>
          <w:p>
            <w:r/>
            <w:r>
              <w:rPr>
                <w:sz w:val="17"/>
              </w:rPr>
              <w:t>version</w:t>
            </w:r>
          </w:p>
        </w:tc>
        <w:tc>
          <w:tcPr>
            <w:tcW w:type="dxa" w:w="6048"/>
          </w:tcPr>
          <w:p>
            <w:r/>
            <w:r>
              <w:rPr>
                <w:sz w:val="17"/>
              </w:rPr>
              <w:t>2.1</w:t>
            </w:r>
          </w:p>
        </w:tc>
      </w:tr>
      <w:tr>
        <w:tc>
          <w:tcPr>
            <w:tcW w:type="dxa" w:w="2880"/>
          </w:tcPr>
          <w:p>
            <w:r/>
            <w:r>
              <w:rPr>
                <w:sz w:val="17"/>
              </w:rPr>
              <w:t>record</w:t>
            </w:r>
          </w:p>
        </w:tc>
        <w:tc>
          <w:tcPr>
            <w:tcW w:type="dxa" w:w="6048"/>
          </w:tcPr>
          <w:p>
            <w:r/>
            <w:r>
              <w:rPr>
                <w:sz w:val="17"/>
              </w:rPr>
              <w:t>2019-04-17 to 2025-07-09</w:t>
            </w:r>
          </w:p>
        </w:tc>
      </w:tr>
      <w:tr>
        <w:tc>
          <w:tcPr>
            <w:tcW w:type="dxa" w:w="2880"/>
          </w:tcPr>
          <w:p>
            <w:r/>
            <w:r>
              <w:rPr>
                <w:sz w:val="17"/>
              </w:rPr>
              <w:t>a newer release also exists</w:t>
            </w:r>
          </w:p>
        </w:tc>
        <w:tc>
          <w:tcPr>
            <w:tcW w:type="dxa" w:w="6048"/>
          </w:tcPr>
          <w:p>
            <w:r/>
            <w:r>
              <w:rPr>
                <w:sz w:val="17"/>
              </w:rPr>
              <w:t>GEDI_L4A_AGB_Density_V3_2508  (C4212593885-ORNL_CLOUD)</w:t>
            </w:r>
          </w:p>
        </w:tc>
      </w:tr>
    </w:tbl>
    <w:p>
      <w:pPr>
        <w:spacing w:after="40"/>
      </w:pPr>
    </w:p>
    <w:p>
      <w:pPr>
        <w:spacing w:after="80"/>
        <w:ind w:left="288"/>
      </w:pPr>
      <w:r>
        <w:rPr>
          <w:b/>
          <w:color w:val="1E6B3A"/>
          <w:sz w:val="20"/>
        </w:rPr>
        <w:t>How it is fixed</w:t>
      </w:r>
    </w:p>
    <w:p>
      <w:pPr>
        <w:spacing w:after="200" w:line="271" w:lineRule="auto"/>
        <w:ind w:left="288"/>
      </w:pPr>
      <w:r>
        <w:rPr>
          <w:color w:val="1A1A1A"/>
          <w:sz w:val="21"/>
        </w:rPr>
        <w:t>Rather than swap one hard-coded string for another that will also go stale, common.resolve_collection() searches CMR by keyword at run time and returns the CONCEPT ID, which is stable across releases. Step 1 prints what it resolved so a wrong match is visible immediately, and Step 3 searches by concept id rather than by name. Note that a version 3 now exists; the default remains 2.1 for reproducibility, and --version switches it.</w:t>
      </w:r>
    </w:p>
    <w:p>
      <w:r>
        <w:br w:type="page"/>
      </w:r>
    </w:p>
    <w:p>
      <w:pPr>
        <w:pStyle w:val="Heading1"/>
      </w:pPr>
      <w:r>
        <w:rPr>
          <w:color w:val="0B3D62"/>
        </w:rPr>
        <w:t>Fix 3 — fire masking</w:t>
      </w:r>
    </w:p>
    <w:p>
      <w:pPr>
        <w:spacing w:after="140" w:line="271" w:lineRule="auto"/>
      </w:pPr>
      <w:r>
        <w:rPr>
          <w:b w:val="0"/>
          <w:color w:val="1A1A1A"/>
          <w:sz w:val="21"/>
        </w:rPr>
        <w:t xml:space="preserve">This is the defect most likely to have produced a wrong answer rather than no answer. GEDI's record begins 2019-04-18. The 2019-20 fires burned roughly seven million hectares from late 2019, straight through vic_gippsland, nsw_southeast and nsw_north_seqld — three of the six target regions, all of them tall forest. </w:t>
      </w:r>
      <w:r>
        <w:rPr>
          <w:b/>
          <w:color w:val="1A1A1A"/>
          <w:sz w:val="21"/>
        </w:rPr>
        <w:t>A footprint acquired after a fire measures a burnt canopy.</w:t>
      </w:r>
      <w:r>
        <w:rPr>
          <w:b w:val="0"/>
          <w:color w:val="1A1A1A"/>
          <w:sz w:val="21"/>
        </w:rPr>
        <w:t xml:space="preserve"> In high-FPI tall forest that depresses biomass for reasons having nothing to do with M′.</w:t>
      </w:r>
    </w:p>
    <w:p>
      <w:pPr>
        <w:spacing w:after="140" w:line="271" w:lineRule="auto"/>
      </w:pPr>
      <w:r>
        <w:rPr>
          <w:i w:val="0"/>
          <w:color w:val="1A1A1A"/>
          <w:sz w:val="21"/>
        </w:rPr>
        <w:t>The pipeline exists to test whether M′ ranks tall forest backwards. Without a fire flag it cannot distinguish that hypothesis from “this forest burnt”, and the fires fall in exactly the places and years that matter. The effect could manufacture the inversion, amplify a real one, or hide it.</w:t>
      </w:r>
    </w:p>
    <w:p>
      <w:pPr>
        <w:pStyle w:val="Heading2"/>
      </w:pPr>
      <w:r>
        <w:rPr>
          <w:color w:val="0B3D62"/>
        </w:rPr>
        <w:t>Which fire product, and why</w:t>
      </w:r>
    </w:p>
    <w:p>
      <w:pPr>
        <w:spacing w:after="140" w:line="271" w:lineRule="auto"/>
      </w:pPr>
      <w:r>
        <w:rPr>
          <w:i w:val="0"/>
          <w:color w:val="1A1A1A"/>
          <w:sz w:val="21"/>
        </w:rPr>
        <w:t>NIAFED, the obvious national choice, is not published on data.gov.au in a downloadable form — checked. MODIS MCD64A1 is, and it has a practical advantage: it is served from the same NASA Earthdata account GEDI already requires, so there is no second credential to obtain.</w:t>
      </w:r>
    </w:p>
    <w:tbl>
      <w:tblPr>
        <w:tblStyle w:val="LightGrid-Accent1"/>
        <w:tblW w:type="auto" w:w="0"/>
        <w:jc w:val="center"/>
        <w:tblLook w:firstColumn="1" w:firstRow="1" w:lastColumn="0" w:lastRow="0" w:noHBand="0" w:noVBand="1" w:val="04A0"/>
      </w:tblPr>
      <w:tblGrid>
        <w:gridCol w:w="4320"/>
        <w:gridCol w:w="4320"/>
      </w:tblGrid>
      <w:tr>
        <w:tc>
          <w:tcPr>
            <w:tcW w:type="dxa" w:w="2304"/>
          </w:tcPr>
          <w:p>
            <w:r/>
            <w:r>
              <w:rPr>
                <w:b/>
                <w:sz w:val="17"/>
              </w:rPr>
              <w:t>property</w:t>
            </w:r>
          </w:p>
        </w:tc>
        <w:tc>
          <w:tcPr>
            <w:tcW w:type="dxa" w:w="6624"/>
          </w:tcPr>
          <w:p>
            <w:r/>
            <w:r>
              <w:rPr>
                <w:b/>
                <w:sz w:val="17"/>
              </w:rPr>
              <w:t>value</w:t>
            </w:r>
          </w:p>
        </w:tc>
      </w:tr>
      <w:tr>
        <w:tc>
          <w:tcPr>
            <w:tcW w:type="dxa" w:w="2304"/>
          </w:tcPr>
          <w:p>
            <w:r/>
            <w:r>
              <w:rPr>
                <w:sz w:val="17"/>
              </w:rPr>
              <w:t>product</w:t>
            </w:r>
          </w:p>
        </w:tc>
        <w:tc>
          <w:tcPr>
            <w:tcW w:type="dxa" w:w="6624"/>
          </w:tcPr>
          <w:p>
            <w:r/>
            <w:r>
              <w:rPr>
                <w:sz w:val="17"/>
              </w:rPr>
              <w:t>MCD64A1 v061</w:t>
            </w:r>
          </w:p>
        </w:tc>
      </w:tr>
      <w:tr>
        <w:tc>
          <w:tcPr>
            <w:tcW w:type="dxa" w:w="2304"/>
          </w:tcPr>
          <w:p>
            <w:r/>
            <w:r>
              <w:rPr>
                <w:sz w:val="17"/>
              </w:rPr>
              <w:t>concept id</w:t>
            </w:r>
          </w:p>
        </w:tc>
        <w:tc>
          <w:tcPr>
            <w:tcW w:type="dxa" w:w="6624"/>
          </w:tcPr>
          <w:p>
            <w:r/>
            <w:r>
              <w:rPr>
                <w:sz w:val="17"/>
              </w:rPr>
              <w:t>C2565786756-LPCLOUD</w:t>
            </w:r>
          </w:p>
        </w:tc>
      </w:tr>
      <w:tr>
        <w:tc>
          <w:tcPr>
            <w:tcW w:type="dxa" w:w="2304"/>
          </w:tcPr>
          <w:p>
            <w:r/>
            <w:r>
              <w:rPr>
                <w:sz w:val="17"/>
              </w:rPr>
              <w:t>what it gives</w:t>
            </w:r>
          </w:p>
        </w:tc>
        <w:tc>
          <w:tcPr>
            <w:tcW w:type="dxa" w:w="6624"/>
          </w:tcPr>
          <w:p>
            <w:r/>
            <w:r>
              <w:rPr>
                <w:sz w:val="17"/>
              </w:rPr>
              <w:t>per-pixel burn DATE, monthly, 500 m</w:t>
            </w:r>
          </w:p>
        </w:tc>
      </w:tr>
      <w:tr>
        <w:tc>
          <w:tcPr>
            <w:tcW w:type="dxa" w:w="2304"/>
          </w:tcPr>
          <w:p>
            <w:r/>
            <w:r>
              <w:rPr>
                <w:sz w:val="17"/>
              </w:rPr>
              <w:t>record</w:t>
            </w:r>
          </w:p>
        </w:tc>
        <w:tc>
          <w:tcPr>
            <w:tcW w:type="dxa" w:w="6624"/>
          </w:tcPr>
          <w:p>
            <w:r/>
            <w:r>
              <w:rPr>
                <w:sz w:val="17"/>
              </w:rPr>
              <w:t>2000-11-01 to ongoing</w:t>
            </w:r>
          </w:p>
        </w:tc>
      </w:tr>
      <w:tr>
        <w:tc>
          <w:tcPr>
            <w:tcW w:type="dxa" w:w="2304"/>
          </w:tcPr>
          <w:p>
            <w:r/>
            <w:r>
              <w:rPr>
                <w:sz w:val="17"/>
              </w:rPr>
              <w:t>cost</w:t>
            </w:r>
          </w:p>
        </w:tc>
        <w:tc>
          <w:tcPr>
            <w:tcW w:type="dxa" w:w="6624"/>
          </w:tcPr>
          <w:p>
            <w:r/>
            <w:r>
              <w:rPr>
                <w:sz w:val="17"/>
              </w:rPr>
              <w:t>roughly 330 MB per region, against about 100 GB of GEDI for the same box</w:t>
            </w:r>
          </w:p>
        </w:tc>
      </w:tr>
    </w:tbl>
    <w:p>
      <w:pPr>
        <w:spacing w:after="40"/>
      </w:pPr>
    </w:p>
    <w:p>
      <w:pPr>
        <w:pStyle w:val="Heading2"/>
      </w:pPr>
      <w:r>
        <w:rPr>
          <w:color w:val="0B3D62"/>
        </w:rPr>
        <w:t>How the mask is built and used</w:t>
      </w:r>
    </w:p>
    <w:p>
      <w:pPr>
        <w:pStyle w:val="ListNumber"/>
        <w:spacing w:after="80"/>
      </w:pPr>
      <w:r>
        <w:rPr>
          <w:color w:val="1A1A1A"/>
          <w:sz w:val="21"/>
        </w:rPr>
        <w:t>Step 2 downloads MCD64A1 for the chosen regions and reduces it to one raster per year on the NLUM grid: burn_year_YYYY.tif, 1 where the cell burned that year. Resampling is NEAREST throughout — a burnt cell next to an unburnt one must never average into something in between.</w:t>
      </w:r>
    </w:p>
    <w:p>
      <w:pPr>
        <w:pStyle w:val="ListNumber"/>
        <w:spacing w:after="80"/>
      </w:pPr>
      <w:r>
        <w:rPr>
          <w:color w:val="1A1A1A"/>
          <w:sz w:val="21"/>
        </w:rPr>
        <w:t>It also writes last_burn_year.tif, the most recent burn year per cell, 0 for never.</w:t>
      </w:r>
    </w:p>
    <w:p>
      <w:pPr>
        <w:pStyle w:val="ListNumber"/>
        <w:spacing w:after="80"/>
      </w:pPr>
      <w:r>
        <w:rPr>
          <w:color w:val="1A1A1A"/>
          <w:sz w:val="21"/>
        </w:rPr>
        <w:t>Step 4 flags a footprint when its cell burned within --recovery-years of the acquisition date. The default is ten years: biomass in wet eucalypt forest does not return in one. Black Summer is flagged separately, because it is the case most likely to be questioned.</w:t>
      </w:r>
    </w:p>
    <w:p>
      <w:pPr>
        <w:spacing w:after="140" w:line="271" w:lineRule="auto"/>
      </w:pPr>
      <w:r>
        <w:rPr>
          <w:b w:val="0"/>
          <w:color w:val="1A1A1A"/>
          <w:sz w:val="21"/>
        </w:rPr>
        <w:t xml:space="preserve">Step 4 then writes </w:t>
      </w:r>
      <w:r>
        <w:rPr>
          <w:b/>
          <w:color w:val="1A1A1A"/>
          <w:sz w:val="21"/>
        </w:rPr>
        <w:t>two</w:t>
      </w:r>
      <w:r>
        <w:rPr>
          <w:b w:val="0"/>
          <w:color w:val="1A1A1A"/>
          <w:sz w:val="21"/>
        </w:rPr>
        <w:t xml:space="preserve"> cell files per M′ layer — gedi_cells_all_&lt;tag&gt;.csv and gedi_cells_unburnt_&lt;tag&gt;.csv — so the effect of the fires on the answer is visible rather than assumed away. If the two disagree, that is itself a result worth reporting.</w:t>
      </w:r>
    </w:p>
    <w:p>
      <w:pPr>
        <w:spacing w:after="140" w:line="271" w:lineRule="auto"/>
      </w:pPr>
      <w:r>
        <w:rPr>
          <w:i w:val="0"/>
          <w:color w:val="1A1A1A"/>
          <w:sz w:val="20"/>
        </w:rPr>
        <w:t>As run: burnt within 10 years of acquisition 23.0% of footprints; in a 2019-20 fire footprint 16.8%. Excluding burnt footprints cuts the cells with ≥ 30 footprints from 174,790 to 133,429, most heavily in vic_gippsland and nsw_southeast, while the share of cells where GEDI p95 exceeds New_M_2019 moves only from 51.6% to 48.1%.</w:t>
      </w:r>
    </w:p>
    <w:p>
      <w:pPr>
        <w:spacing w:after="140" w:line="271" w:lineRule="auto"/>
      </w:pPr>
      <w:r>
        <w:rPr>
          <w:i w:val="0"/>
          <w:color w:val="1A1A1A"/>
          <w:sz w:val="20"/>
        </w:rPr>
        <w:t>MODIS MCD64A1 is HDF4, and the JinzhuLuto environment's GDAL has no HDF4 driver. Rather than modify that environment, Step 2 converts each file to a temporary GeoTIFF with the zoenv environment's gdal_translate.exe, run as a subprocess.</w:t>
      </w:r>
    </w:p>
    <w:p>
      <w:pPr>
        <w:pStyle w:val="Heading1"/>
      </w:pPr>
      <w:r>
        <w:rPr>
          <w:color w:val="0B3D62"/>
        </w:rPr>
        <w:t>Two smaller corrections</w:t>
      </w:r>
    </w:p>
    <w:p>
      <w:pPr>
        <w:pStyle w:val="ListBullet"/>
        <w:spacing w:after="80"/>
      </w:pPr>
      <w:r>
        <w:rPr>
          <w:color w:val="1A1A1A"/>
          <w:sz w:val="21"/>
        </w:rPr>
        <w:t>p99 is suppressed below 100 footprints. The original allowed agbd_p99 with a minimum of 30 footprints per cell, but the 99th percentile of 30 values is simply the largest of them — not a percentile, and very unstable. p95 remains the working statistic; p99 is reported only where there are enough shots to mean something.</w:t>
      </w:r>
    </w:p>
    <w:p>
      <w:pPr>
        <w:pStyle w:val="ListBullet"/>
        <w:spacing w:after="80"/>
      </w:pPr>
      <w:r>
        <w:rPr>
          <w:color w:val="1A1A1A"/>
          <w:sz w:val="21"/>
        </w:rPr>
        <w:t>The job is sized before it starts. Step 1 counts granules and estimates volume per region, because the six-region set is far larger than the original README implied.</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2160"/>
          </w:tcPr>
          <w:p>
            <w:r/>
            <w:r>
              <w:rPr>
                <w:b/>
                <w:sz w:val="17"/>
              </w:rPr>
              <w:t>region</w:t>
            </w:r>
          </w:p>
        </w:tc>
        <w:tc>
          <w:tcPr>
            <w:tcW w:type="dxa" w:w="1584"/>
          </w:tcPr>
          <w:p>
            <w:r/>
            <w:r>
              <w:rPr>
                <w:b/>
                <w:sz w:val="17"/>
              </w:rPr>
              <w:t>GEDI granules</w:t>
            </w:r>
          </w:p>
        </w:tc>
        <w:tc>
          <w:tcPr>
            <w:tcW w:type="dxa" w:w="1440"/>
          </w:tcPr>
          <w:p>
            <w:r/>
            <w:r>
              <w:rPr>
                <w:b/>
                <w:sz w:val="17"/>
              </w:rPr>
              <w:t>GEDI volume</w:t>
            </w:r>
          </w:p>
        </w:tc>
        <w:tc>
          <w:tcPr>
            <w:tcW w:type="dxa" w:w="1584"/>
          </w:tcPr>
          <w:p>
            <w:r/>
            <w:r>
              <w:rPr>
                <w:b/>
                <w:sz w:val="17"/>
              </w:rPr>
              <w:t>MODIS granules</w:t>
            </w:r>
          </w:p>
        </w:tc>
        <w:tc>
          <w:tcPr>
            <w:tcW w:type="dxa" w:w="1440"/>
          </w:tcPr>
          <w:p>
            <w:r/>
            <w:r>
              <w:rPr>
                <w:b/>
                <w:sz w:val="17"/>
              </w:rPr>
              <w:t>MODIS volume</w:t>
            </w:r>
          </w:p>
        </w:tc>
      </w:tr>
      <w:tr>
        <w:tc>
          <w:tcPr>
            <w:tcW w:type="dxa" w:w="2160"/>
          </w:tcPr>
          <w:p>
            <w:r/>
            <w:r>
              <w:rPr>
                <w:sz w:val="17"/>
              </w:rPr>
              <w:t>vic_central</w:t>
            </w:r>
          </w:p>
        </w:tc>
        <w:tc>
          <w:tcPr>
            <w:tcW w:type="dxa" w:w="1584"/>
          </w:tcPr>
          <w:p>
            <w:r/>
            <w:r>
              <w:rPr>
                <w:sz w:val="17"/>
              </w:rPr>
              <w:t>428</w:t>
            </w:r>
          </w:p>
        </w:tc>
        <w:tc>
          <w:tcPr>
            <w:tcW w:type="dxa" w:w="1440"/>
          </w:tcPr>
          <w:p>
            <w:r/>
            <w:r>
              <w:rPr>
                <w:sz w:val="17"/>
              </w:rPr>
              <w:t>101 GB</w:t>
            </w:r>
          </w:p>
        </w:tc>
        <w:tc>
          <w:tcPr>
            <w:tcW w:type="dxa" w:w="1584"/>
          </w:tcPr>
          <w:p>
            <w:r/>
            <w:r>
              <w:rPr>
                <w:sz w:val="17"/>
              </w:rPr>
              <w:t>71</w:t>
            </w:r>
          </w:p>
        </w:tc>
        <w:tc>
          <w:tcPr>
            <w:tcW w:type="dxa" w:w="1440"/>
          </w:tcPr>
          <w:p>
            <w:r/>
            <w:r>
              <w:rPr>
                <w:sz w:val="17"/>
              </w:rPr>
              <w:t>121 MB</w:t>
            </w:r>
          </w:p>
        </w:tc>
      </w:tr>
      <w:tr>
        <w:tc>
          <w:tcPr>
            <w:tcW w:type="dxa" w:w="2160"/>
          </w:tcPr>
          <w:p>
            <w:r/>
            <w:r>
              <w:rPr>
                <w:sz w:val="17"/>
              </w:rPr>
              <w:t>vic_gippsland</w:t>
            </w:r>
          </w:p>
        </w:tc>
        <w:tc>
          <w:tcPr>
            <w:tcW w:type="dxa" w:w="1584"/>
          </w:tcPr>
          <w:p>
            <w:r/>
            <w:r>
              <w:rPr>
                <w:sz w:val="17"/>
              </w:rPr>
              <w:t>454</w:t>
            </w:r>
          </w:p>
        </w:tc>
        <w:tc>
          <w:tcPr>
            <w:tcW w:type="dxa" w:w="1440"/>
          </w:tcPr>
          <w:p>
            <w:r/>
            <w:r>
              <w:rPr>
                <w:sz w:val="17"/>
              </w:rPr>
              <w:t>107 GB</w:t>
            </w:r>
          </w:p>
        </w:tc>
        <w:tc>
          <w:tcPr>
            <w:tcW w:type="dxa" w:w="1584"/>
          </w:tcPr>
          <w:p>
            <w:r/>
            <w:r>
              <w:rPr>
                <w:sz w:val="17"/>
              </w:rPr>
              <w:t>71</w:t>
            </w:r>
          </w:p>
        </w:tc>
        <w:tc>
          <w:tcPr>
            <w:tcW w:type="dxa" w:w="1440"/>
          </w:tcPr>
          <w:p>
            <w:r/>
            <w:r>
              <w:rPr>
                <w:sz w:val="17"/>
              </w:rPr>
              <w:t>121 MB</w:t>
            </w:r>
          </w:p>
        </w:tc>
      </w:tr>
      <w:tr>
        <w:tc>
          <w:tcPr>
            <w:tcW w:type="dxa" w:w="2160"/>
          </w:tcPr>
          <w:p>
            <w:r/>
            <w:r>
              <w:rPr>
                <w:sz w:val="17"/>
              </w:rPr>
              <w:t>tasmania</w:t>
            </w:r>
          </w:p>
        </w:tc>
        <w:tc>
          <w:tcPr>
            <w:tcW w:type="dxa" w:w="1584"/>
          </w:tcPr>
          <w:p>
            <w:r/>
            <w:r>
              <w:rPr>
                <w:sz w:val="17"/>
              </w:rPr>
              <w:t>1050</w:t>
            </w:r>
          </w:p>
        </w:tc>
        <w:tc>
          <w:tcPr>
            <w:tcW w:type="dxa" w:w="1440"/>
          </w:tcPr>
          <w:p>
            <w:r/>
            <w:r>
              <w:rPr>
                <w:sz w:val="17"/>
              </w:rPr>
              <w:t>247 GB</w:t>
            </w:r>
          </w:p>
        </w:tc>
        <w:tc>
          <w:tcPr>
            <w:tcW w:type="dxa" w:w="1584"/>
          </w:tcPr>
          <w:p>
            <w:r/>
            <w:r>
              <w:rPr>
                <w:sz w:val="17"/>
              </w:rPr>
              <w:t>142</w:t>
            </w:r>
          </w:p>
        </w:tc>
        <w:tc>
          <w:tcPr>
            <w:tcW w:type="dxa" w:w="1440"/>
          </w:tcPr>
          <w:p>
            <w:r/>
            <w:r>
              <w:rPr>
                <w:sz w:val="17"/>
              </w:rPr>
              <w:t>241 MB</w:t>
            </w:r>
          </w:p>
        </w:tc>
      </w:tr>
      <w:tr>
        <w:tc>
          <w:tcPr>
            <w:tcW w:type="dxa" w:w="2160"/>
          </w:tcPr>
          <w:p>
            <w:r/>
            <w:r>
              <w:rPr>
                <w:sz w:val="17"/>
              </w:rPr>
              <w:t>nsw_southeast</w:t>
            </w:r>
          </w:p>
        </w:tc>
        <w:tc>
          <w:tcPr>
            <w:tcW w:type="dxa" w:w="1584"/>
          </w:tcPr>
          <w:p>
            <w:r/>
            <w:r>
              <w:rPr>
                <w:sz w:val="17"/>
              </w:rPr>
              <w:t>994</w:t>
            </w:r>
          </w:p>
        </w:tc>
        <w:tc>
          <w:tcPr>
            <w:tcW w:type="dxa" w:w="1440"/>
          </w:tcPr>
          <w:p>
            <w:r/>
            <w:r>
              <w:rPr>
                <w:sz w:val="17"/>
              </w:rPr>
              <w:t>234 GB</w:t>
            </w:r>
          </w:p>
        </w:tc>
        <w:tc>
          <w:tcPr>
            <w:tcW w:type="dxa" w:w="1584"/>
          </w:tcPr>
          <w:p>
            <w:r/>
            <w:r>
              <w:rPr>
                <w:sz w:val="17"/>
              </w:rPr>
              <w:t>213</w:t>
            </w:r>
          </w:p>
        </w:tc>
        <w:tc>
          <w:tcPr>
            <w:tcW w:type="dxa" w:w="1440"/>
          </w:tcPr>
          <w:p>
            <w:r/>
            <w:r>
              <w:rPr>
                <w:sz w:val="17"/>
              </w:rPr>
              <w:t>362 MB</w:t>
            </w:r>
          </w:p>
        </w:tc>
      </w:tr>
      <w:tr>
        <w:tc>
          <w:tcPr>
            <w:tcW w:type="dxa" w:w="2160"/>
          </w:tcPr>
          <w:p>
            <w:r/>
            <w:r>
              <w:rPr>
                <w:sz w:val="17"/>
              </w:rPr>
              <w:t>nsw_north_seqld</w:t>
            </w:r>
          </w:p>
        </w:tc>
        <w:tc>
          <w:tcPr>
            <w:tcW w:type="dxa" w:w="1584"/>
          </w:tcPr>
          <w:p>
            <w:r/>
            <w:r>
              <w:rPr>
                <w:sz w:val="17"/>
              </w:rPr>
              <w:t>994</w:t>
            </w:r>
          </w:p>
        </w:tc>
        <w:tc>
          <w:tcPr>
            <w:tcW w:type="dxa" w:w="1440"/>
          </w:tcPr>
          <w:p>
            <w:r/>
            <w:r>
              <w:rPr>
                <w:sz w:val="17"/>
              </w:rPr>
              <w:t>234 GB</w:t>
            </w:r>
          </w:p>
        </w:tc>
        <w:tc>
          <w:tcPr>
            <w:tcW w:type="dxa" w:w="1584"/>
          </w:tcPr>
          <w:p>
            <w:r/>
            <w:r>
              <w:rPr>
                <w:sz w:val="17"/>
              </w:rPr>
              <w:t>213</w:t>
            </w:r>
          </w:p>
        </w:tc>
        <w:tc>
          <w:tcPr>
            <w:tcW w:type="dxa" w:w="1440"/>
          </w:tcPr>
          <w:p>
            <w:r/>
            <w:r>
              <w:rPr>
                <w:sz w:val="17"/>
              </w:rPr>
              <w:t>362 MB</w:t>
            </w:r>
          </w:p>
        </w:tc>
      </w:tr>
      <w:tr>
        <w:tc>
          <w:tcPr>
            <w:tcW w:type="dxa" w:w="2160"/>
          </w:tcPr>
          <w:p>
            <w:r/>
            <w:r>
              <w:rPr>
                <w:sz w:val="17"/>
              </w:rPr>
              <w:t>wa_southwest</w:t>
            </w:r>
          </w:p>
        </w:tc>
        <w:tc>
          <w:tcPr>
            <w:tcW w:type="dxa" w:w="1584"/>
          </w:tcPr>
          <w:p>
            <w:r/>
            <w:r>
              <w:rPr>
                <w:sz w:val="17"/>
              </w:rPr>
              <w:t>639</w:t>
            </w:r>
          </w:p>
        </w:tc>
        <w:tc>
          <w:tcPr>
            <w:tcW w:type="dxa" w:w="1440"/>
          </w:tcPr>
          <w:p>
            <w:r/>
            <w:r>
              <w:rPr>
                <w:sz w:val="17"/>
              </w:rPr>
              <w:t>150 GB</w:t>
            </w:r>
          </w:p>
        </w:tc>
        <w:tc>
          <w:tcPr>
            <w:tcW w:type="dxa" w:w="1584"/>
          </w:tcPr>
          <w:p>
            <w:r/>
            <w:r>
              <w:rPr>
                <w:sz w:val="17"/>
              </w:rPr>
              <w:t>71</w:t>
            </w:r>
          </w:p>
        </w:tc>
        <w:tc>
          <w:tcPr>
            <w:tcW w:type="dxa" w:w="1440"/>
          </w:tcPr>
          <w:p>
            <w:r/>
            <w:r>
              <w:rPr>
                <w:sz w:val="17"/>
              </w:rPr>
              <w:t>121 MB</w:t>
            </w:r>
          </w:p>
        </w:tc>
      </w:tr>
      <w:tr>
        <w:tc>
          <w:tcPr>
            <w:tcW w:type="dxa" w:w="2160"/>
          </w:tcPr>
          <w:p>
            <w:r/>
            <w:r>
              <w:rPr>
                <w:sz w:val="17"/>
              </w:rPr>
              <w:t>TOTAL</w:t>
            </w:r>
          </w:p>
        </w:tc>
        <w:tc>
          <w:tcPr>
            <w:tcW w:type="dxa" w:w="1584"/>
          </w:tcPr>
          <w:p>
            <w:r/>
            <w:r>
              <w:rPr>
                <w:sz w:val="17"/>
              </w:rPr>
              <w:t>4559</w:t>
            </w:r>
          </w:p>
        </w:tc>
        <w:tc>
          <w:tcPr>
            <w:tcW w:type="dxa" w:w="1440"/>
          </w:tcPr>
          <w:p>
            <w:r/>
            <w:r>
              <w:rPr>
                <w:sz w:val="17"/>
              </w:rPr>
              <w:t>1072 GB</w:t>
            </w:r>
          </w:p>
        </w:tc>
        <w:tc>
          <w:tcPr>
            <w:tcW w:type="dxa" w:w="1584"/>
          </w:tcPr>
          <w:p>
            <w:r/>
            <w:r>
              <w:rPr>
                <w:sz w:val="17"/>
              </w:rPr>
              <w:t>781</w:t>
            </w:r>
          </w:p>
        </w:tc>
        <w:tc>
          <w:tcPr>
            <w:tcW w:type="dxa" w:w="1440"/>
          </w:tcPr>
          <w:p>
            <w:r/>
            <w:r>
              <w:rPr>
                <w:sz w:val="17"/>
              </w:rPr>
              <w:t>1328 MB</w:t>
            </w:r>
          </w:p>
        </w:tc>
      </w:tr>
    </w:tbl>
    <w:p>
      <w:pPr>
        <w:spacing w:after="40"/>
      </w:pPr>
    </w:p>
    <w:p>
      <w:pPr>
        <w:spacing w:after="140" w:line="271" w:lineRule="auto"/>
      </w:pPr>
      <w:r>
        <w:rPr>
          <w:i w:val="0"/>
          <w:color w:val="1A1A1A"/>
          <w:sz w:val="20"/>
        </w:rPr>
        <w:t>These are Step 1's estimates before anything was fetched. Granules overlap between adjacent regions, so the true total is lower than the sum. Because Step 3 deletes each granule once its footprints are checkpointed, disk use stays small even though the transfer is terabyte-scale. vic_central was run first to check how many cells survive the minimum-footprint filter, and the other five followed in one resumable run.</w:t>
      </w:r>
    </w:p>
    <w:p>
      <w:pPr>
        <w:pStyle w:val="Heading1"/>
      </w:pPr>
      <w:r>
        <w:rPr>
          <w:color w:val="0B3D62"/>
        </w:rPr>
        <w:t>What was deliberately left alone</w:t>
      </w:r>
    </w:p>
    <w:p>
      <w:pPr>
        <w:spacing w:after="140" w:line="271" w:lineRule="auto"/>
      </w:pPr>
      <w:r>
        <w:rPr>
          <w:i w:val="0"/>
          <w:color w:val="1A1A1A"/>
          <w:sz w:val="21"/>
        </w:rPr>
        <w:t>The original's scientific choices were sound and are carried over unchanged:</w:t>
      </w:r>
    </w:p>
    <w:p>
      <w:pPr>
        <w:pStyle w:val="ListBullet"/>
        <w:spacing w:after="80"/>
      </w:pPr>
      <w:r>
        <w:rPr>
          <w:color w:val="1A1A1A"/>
          <w:sz w:val="21"/>
        </w:rPr>
        <w:t>Power beams only. The four full-power beams penetrate dense canopy far better than the coverage beams, which matters in tall wet forest.</w:t>
      </w:r>
    </w:p>
    <w:p>
      <w:pPr>
        <w:pStyle w:val="ListBullet"/>
        <w:spacing w:after="80"/>
      </w:pPr>
      <w:r>
        <w:rPr>
          <w:color w:val="1A1A1A"/>
          <w:sz w:val="21"/>
        </w:rPr>
        <w:t>sensitivity &gt; 0.95, stricter than the usual 0.90. A less sensitive shot may not reach the ground and will under-report biomass — precisely the error that would manufacture a false negative correlation.</w:t>
      </w:r>
    </w:p>
    <w:p>
      <w:pPr>
        <w:pStyle w:val="ListBullet"/>
        <w:spacing w:after="80"/>
      </w:pPr>
      <w:r>
        <w:rPr>
          <w:color w:val="1A1A1A"/>
          <w:sz w:val="21"/>
        </w:rPr>
        <w:t>Quality and degrade flags applied, and filtering done inside the extraction loop so only survivors are ever held in memory.</w:t>
      </w:r>
    </w:p>
    <w:p>
      <w:pPr>
        <w:pStyle w:val="ListBullet"/>
        <w:spacing w:after="80"/>
      </w:pPr>
      <w:r>
        <w:rPr>
          <w:color w:val="1A1A1A"/>
          <w:sz w:val="21"/>
        </w:rPr>
        <w:t>Granules deleted after extraction unless --keep-granules.</w:t>
      </w:r>
    </w:p>
    <w:p>
      <w:pPr>
        <w:pStyle w:val="ListBullet"/>
        <w:spacing w:after="80"/>
      </w:pPr>
      <w:r>
        <w:rPr>
          <w:color w:val="1A1A1A"/>
          <w:sz w:val="21"/>
        </w:rPr>
        <w:t>--inspect first, to confirm the HDF5 variable paths before committing to a long download.</w:t>
      </w:r>
    </w:p>
    <w:p>
      <w:pPr>
        <w:pStyle w:val="ListBullet"/>
        <w:spacing w:after="80"/>
      </w:pPr>
      <w:r>
        <w:rPr>
          <w:color w:val="1A1A1A"/>
          <w:sz w:val="21"/>
        </w:rPr>
        <w:t>The six regions, chosen to target eucalypt tall and open forest — the group where Level 2 gave an elasticity of −2.62 and a rank correlation of −0.60.</w:t>
      </w:r>
    </w:p>
    <w:p>
      <w:r>
        <w:br w:type="page"/>
      </w:r>
    </w:p>
    <w:p>
      <w:pPr>
        <w:pStyle w:val="Heading1"/>
      </w:pPr>
      <w:r>
        <w:rPr>
          <w:color w:val="0B3D62"/>
        </w:rPr>
        <w:t>Running it, in order</w:t>
      </w:r>
    </w:p>
    <w:p>
      <w:pPr>
        <w:pStyle w:val="Heading2"/>
      </w:pPr>
      <w:r>
        <w:rPr>
          <w:color w:val="0B3D62"/>
        </w:rPr>
        <w:t>Before anything: credentials</w:t>
      </w:r>
    </w:p>
    <w:p>
      <w:pPr>
        <w:spacing w:after="140" w:line="271" w:lineRule="auto"/>
      </w:pPr>
      <w:r>
        <w:rPr>
          <w:i w:val="0"/>
          <w:color w:val="1A1A1A"/>
          <w:sz w:val="21"/>
        </w:rPr>
        <w:t>One free NASA Earthdata account covers both GEDI and the fire product. Register, then log in once and accept the ORNL DAAC and LP DAAC licence agreements — that second step is easy to skip and causes a confusing failure later.</w:t>
      </w:r>
    </w:p>
    <w:p>
      <w:pPr>
        <w:spacing w:after="140" w:line="271" w:lineRule="auto"/>
      </w:pPr>
      <w:r>
        <w:rPr>
          <w:i w:val="0"/>
          <w:color w:val="1A1A1A"/>
          <w:sz w:val="20"/>
        </w:rPr>
        <w:t>Then store the login once with the helper. It writes N:\Current-Users\ZOHREH-KALAHROUDI\.netrc (HOME is H: on this machine, so the default ~/.netrc is not used) and checks the credentials against the live service. Call python by its full path: conda run buffers input and the password prompt appears to hang.</w:t>
      </w:r>
    </w:p>
    <w:p>
      <w:pPr>
        <w:spacing w:after="20"/>
        <w:ind w:left="432"/>
      </w:pPr>
      <w:r>
        <w:rPr>
          <w:rFonts w:ascii="Consolas" w:hAnsi="Consolas"/>
          <w:color w:val="222222"/>
          <w:sz w:val="17"/>
        </w:rPr>
        <w:t>https://urs.earthdata.nasa.gov/users/new</w:t>
      </w:r>
    </w:p>
    <w:p>
      <w:pPr>
        <w:spacing w:after="20"/>
        <w:ind w:left="432"/>
      </w:pPr>
      <w:r>
        <w:rPr>
          <w:rFonts w:ascii="Consolas" w:hAnsi="Consolas"/>
          <w:color w:val="222222"/>
          <w:sz w:val="17"/>
        </w:rPr>
      </w:r>
    </w:p>
    <w:p>
      <w:pPr>
        <w:spacing w:after="20"/>
        <w:ind w:left="432"/>
      </w:pPr>
      <w:r>
        <w:rPr>
          <w:rFonts w:ascii="Consolas" w:hAnsi="Consolas"/>
          <w:color w:val="222222"/>
          <w:sz w:val="17"/>
        </w:rPr>
        <w:t>set PY=C:\ProgramData\Anaconda3\envs\JinzhuLuto\python.exe</w:t>
      </w:r>
    </w:p>
    <w:p>
      <w:pPr>
        <w:spacing w:after="20"/>
        <w:ind w:left="432"/>
      </w:pPr>
      <w:r>
        <w:rPr>
          <w:rFonts w:ascii="Consolas" w:hAnsi="Consolas"/>
          <w:color w:val="222222"/>
          <w:sz w:val="17"/>
        </w:rPr>
        <w:t>%PY% setup_earthdata_login.py</w:t>
      </w:r>
    </w:p>
    <w:p>
      <w:pPr>
        <w:pStyle w:val="Heading2"/>
      </w:pPr>
      <w:r>
        <w:rPr>
          <w:color w:val="0B3D62"/>
        </w:rPr>
        <w:t>Step 1 — verify the fixes and size the job</w:t>
      </w:r>
    </w:p>
    <w:p>
      <w:pPr>
        <w:spacing w:after="140" w:line="271" w:lineRule="auto"/>
      </w:pPr>
      <w:r>
        <w:rPr>
          <w:i w:val="0"/>
          <w:color w:val="1A1A1A"/>
          <w:sz w:val="20"/>
        </w:rPr>
        <w:t>Needs no login. Prints the grid offset, the resolved collection ids, and the granule counts above.</w:t>
      </w:r>
    </w:p>
    <w:p>
      <w:pPr>
        <w:spacing w:after="20"/>
        <w:ind w:left="432"/>
      </w:pPr>
      <w:r>
        <w:rPr>
          <w:rFonts w:ascii="Consolas" w:hAnsi="Consolas"/>
          <w:color w:val="222222"/>
          <w:sz w:val="17"/>
        </w:rPr>
        <w:t>%PY% Step_01_check_sources.py</w:t>
      </w:r>
    </w:p>
    <w:p>
      <w:pPr>
        <w:pStyle w:val="Heading2"/>
      </w:pPr>
      <w:r>
        <w:rPr>
          <w:color w:val="0B3D62"/>
        </w:rPr>
        <w:t>Step 2 — build the fire mask</w:t>
      </w:r>
    </w:p>
    <w:p>
      <w:pPr>
        <w:spacing w:after="140" w:line="271" w:lineRule="auto"/>
      </w:pPr>
      <w:r>
        <w:rPr>
          <w:i w:val="0"/>
          <w:color w:val="1A1A1A"/>
          <w:sz w:val="20"/>
        </w:rPr>
        <w:t>All six regions by default, 2009 to 2025, so that Black Saturday (February 2009) is in the record.</w:t>
      </w:r>
    </w:p>
    <w:p>
      <w:pPr>
        <w:spacing w:after="20"/>
        <w:ind w:left="432"/>
      </w:pPr>
      <w:r>
        <w:rPr>
          <w:rFonts w:ascii="Consolas" w:hAnsi="Consolas"/>
          <w:color w:val="222222"/>
          <w:sz w:val="17"/>
        </w:rPr>
        <w:t>%PY% Step_02_build_fire_mask.py --check</w:t>
      </w:r>
    </w:p>
    <w:p>
      <w:pPr>
        <w:spacing w:after="20"/>
        <w:ind w:left="432"/>
      </w:pPr>
      <w:r>
        <w:rPr>
          <w:rFonts w:ascii="Consolas" w:hAnsi="Consolas"/>
          <w:color w:val="222222"/>
          <w:sz w:val="17"/>
        </w:rPr>
        <w:t>%PY% Step_02_build_fire_mask.py</w:t>
      </w:r>
    </w:p>
    <w:p>
      <w:pPr>
        <w:pStyle w:val="Heading2"/>
      </w:pPr>
      <w:r>
        <w:rPr>
          <w:color w:val="0B3D62"/>
        </w:rPr>
        <w:t>Step 3 — fetch GEDI footprints</w:t>
      </w:r>
    </w:p>
    <w:p>
      <w:pPr>
        <w:spacing w:after="140" w:line="271" w:lineRule="auto"/>
      </w:pPr>
      <w:r>
        <w:rPr>
          <w:i w:val="0"/>
          <w:color w:val="1A1A1A"/>
          <w:sz w:val="20"/>
        </w:rPr>
        <w:t>Inspect one granule first, trial a few, then run all six regions. Every granule is checkpointed, so an interrupted run resumes where it stopped.</w:t>
      </w:r>
    </w:p>
    <w:p>
      <w:pPr>
        <w:spacing w:after="20"/>
        <w:ind w:left="432"/>
      </w:pPr>
      <w:r>
        <w:rPr>
          <w:rFonts w:ascii="Consolas" w:hAnsi="Consolas"/>
          <w:color w:val="222222"/>
          <w:sz w:val="17"/>
        </w:rPr>
        <w:t>%PY% Step_03_fetch_gedi.py --inspect --regions vic_central</w:t>
      </w:r>
    </w:p>
    <w:p>
      <w:pPr>
        <w:spacing w:after="20"/>
        <w:ind w:left="432"/>
      </w:pPr>
      <w:r>
        <w:rPr>
          <w:rFonts w:ascii="Consolas" w:hAnsi="Consolas"/>
          <w:color w:val="222222"/>
          <w:sz w:val="17"/>
        </w:rPr>
        <w:t>%PY% Step_03_fetch_gedi.py --regions vic_central --max-granules 5</w:t>
      </w:r>
    </w:p>
    <w:p>
      <w:pPr>
        <w:spacing w:after="20"/>
        <w:ind w:left="432"/>
      </w:pPr>
      <w:r>
        <w:rPr>
          <w:rFonts w:ascii="Consolas" w:hAnsi="Consolas"/>
          <w:color w:val="222222"/>
          <w:sz w:val="17"/>
        </w:rPr>
        <w:t>%PY% Step_03_fetch_gedi.py</w:t>
      </w:r>
    </w:p>
    <w:p>
      <w:pPr>
        <w:pStyle w:val="Heading2"/>
      </w:pPr>
      <w:r>
        <w:rPr>
          <w:color w:val="0B3D62"/>
        </w:rPr>
        <w:t>Step 4 — aggregate to NLUM cells and apply the flags</w:t>
      </w:r>
    </w:p>
    <w:p>
      <w:pPr>
        <w:spacing w:after="140" w:line="271" w:lineRule="auto"/>
      </w:pPr>
      <w:r>
        <w:rPr>
          <w:i w:val="0"/>
          <w:color w:val="1A1A1A"/>
          <w:sz w:val="20"/>
        </w:rPr>
        <w:t>Once per present-day M′ layer; --tag keeps the outputs apart.</w:t>
      </w:r>
    </w:p>
    <w:p>
      <w:pPr>
        <w:spacing w:after="20"/>
        <w:ind w:left="432"/>
      </w:pPr>
      <w:r>
        <w:rPr>
          <w:rFonts w:ascii="Consolas" w:hAnsi="Consolas"/>
          <w:color w:val="222222"/>
          <w:sz w:val="17"/>
        </w:rPr>
        <w:t>%PY% Step_04_aggregate_cells.py --tag New_M_2019</w:t>
      </w:r>
    </w:p>
    <w:p>
      <w:pPr>
        <w:spacing w:after="20"/>
        <w:ind w:left="432"/>
      </w:pPr>
      <w:r>
        <w:rPr>
          <w:rFonts w:ascii="Consolas" w:hAnsi="Consolas"/>
          <w:color w:val="222222"/>
          <w:sz w:val="17"/>
        </w:rPr>
        <w:t>%PY% Step_04_aggregate_cells.py --tag baseline_M_1985-2014 ^</w:t>
      </w:r>
    </w:p>
    <w:p>
      <w:pPr>
        <w:spacing w:after="20"/>
        <w:ind w:left="432"/>
      </w:pPr>
      <w:r>
        <w:rPr>
          <w:rFonts w:ascii="Consolas" w:hAnsi="Consolas"/>
          <w:color w:val="222222"/>
          <w:sz w:val="17"/>
        </w:rPr>
        <w:t xml:space="preserve">    --mprime ..\Writing_paper_01\output\baseline_M_1985-2014.tif</w:t>
      </w:r>
    </w:p>
    <w:p>
      <w:pPr>
        <w:spacing w:after="140" w:line="271" w:lineRule="auto"/>
      </w:pPr>
      <w:r>
        <w:rPr>
          <w:i w:val="0"/>
          <w:color w:val="1A1A1A"/>
          <w:sz w:val="20"/>
        </w:rPr>
        <w:t>M′ defaults to Data/Processed/maxAbgM_v2/New_M_2019.tif and FPI to Random_forest_CSIRO/required_data/fpi — the same 30 annual rasters Step_08 uses as its denominator. Do not substitute FullCAM's published FPI layer; a mismatch in FPI provenance would surface as a mismatch in the biomass relationship and be misdiagnosed.</w:t>
      </w:r>
    </w:p>
    <w:p>
      <w:pPr>
        <w:pStyle w:val="Heading2"/>
      </w:pPr>
      <w:r>
        <w:rPr>
          <w:color w:val="0B3D62"/>
        </w:rPr>
        <w:t>Step 5 — compare with M′, then build the documents</w:t>
      </w:r>
    </w:p>
    <w:p>
      <w:pPr>
        <w:spacing w:after="140" w:line="271" w:lineRule="auto"/>
      </w:pPr>
      <w:r>
        <w:rPr>
          <w:i w:val="0"/>
          <w:color w:val="1A1A1A"/>
          <w:sz w:val="20"/>
        </w:rPr>
        <w:t>Exceedance, FPI bins, forest type, per-region tables and FPI elasticity for both layers, with five figures.</w:t>
      </w:r>
    </w:p>
    <w:p>
      <w:pPr>
        <w:spacing w:after="20"/>
        <w:ind w:left="432"/>
      </w:pPr>
      <w:r>
        <w:rPr>
          <w:rFonts w:ascii="Consolas" w:hAnsi="Consolas"/>
          <w:color w:val="222222"/>
          <w:sz w:val="17"/>
        </w:rPr>
        <w:t>%PY% Step_05_analyse_vs_M.py</w:t>
      </w:r>
    </w:p>
    <w:p>
      <w:pPr>
        <w:spacing w:after="20"/>
        <w:ind w:left="432"/>
      </w:pPr>
      <w:r>
        <w:rPr>
          <w:rFonts w:ascii="Consolas" w:hAnsi="Consolas"/>
          <w:color w:val="222222"/>
          <w:sz w:val="17"/>
        </w:rPr>
        <w:t>%PY% make_validation_gedi_report.py</w:t>
      </w:r>
    </w:p>
    <w:p>
      <w:pPr>
        <w:spacing w:after="20"/>
        <w:ind w:left="432"/>
      </w:pPr>
      <w:r>
        <w:rPr>
          <w:rFonts w:ascii="Consolas" w:hAnsi="Consolas"/>
          <w:color w:val="222222"/>
          <w:sz w:val="17"/>
        </w:rPr>
        <w:t>%PY% make_validation_gedi_doc.py</w:t>
      </w:r>
    </w:p>
    <w:p>
      <w:pPr>
        <w:pStyle w:val="Heading1"/>
      </w:pPr>
      <w:r>
        <w:rPr>
          <w:color w:val="0B3D62"/>
        </w:rPr>
        <w:t>What this folder does NOT fix</w:t>
      </w:r>
    </w:p>
    <w:p>
      <w:pPr>
        <w:spacing w:after="80"/>
        <w:ind w:left="288"/>
      </w:pPr>
      <w:r>
        <w:rPr>
          <w:b/>
          <w:color w:val="9A6B11"/>
          <w:sz w:val="20"/>
        </w:rPr>
        <w:t>Two interpretive problems remain open. They are analysis-design questions, not code defects.</w:t>
      </w:r>
    </w:p>
    <w:p>
      <w:pPr>
        <w:spacing w:after="200" w:line="271" w:lineRule="auto"/>
        <w:ind w:left="288"/>
      </w:pPr>
      <w:r>
        <w:rPr>
          <w:color w:val="1A1A1A"/>
          <w:sz w:val="21"/>
        </w:rPr>
        <w:t>First, protected areas are not a random sample of tall forest. Reserves are biased toward steep, rocky, less fertile country - the land that was not worth clearing - so restricting to CAPAD categories I-IV changes the distribution of site quality, not only the disturbance history. If the rank correlation turns positive in protected forest, “clearing explains the inversion” is one reading and “protected sites span a narrower, poorer productivity range” is another. The original outcome table treats the first as established. Protection is also not the same as never-cleared: many reserves were proclaimed over previously logged forest.</w:t>
      </w:r>
    </w:p>
    <w:p>
      <w:pPr>
        <w:spacing w:after="80"/>
        <w:ind w:left="288"/>
      </w:pPr>
      <w:r>
        <w:rPr>
          <w:b/>
          <w:color w:val="9A6B11"/>
          <w:sz w:val="20"/>
        </w:rPr>
        <w:t>Second, GEDI biomass is modelled, not measured.</w:t>
      </w:r>
    </w:p>
    <w:p>
      <w:pPr>
        <w:spacing w:after="200" w:line="271" w:lineRule="auto"/>
        <w:ind w:left="288"/>
      </w:pPr>
      <w:r>
        <w:rPr>
          <w:color w:val="1A1A1A"/>
          <w:sz w:val="21"/>
        </w:rPr>
        <w:t>L4A derives biomass from canopy structure through allometry, so a systematic offset against field plots is expected. Characterise it where library plots and GEDI footprints coincide and report it - that comparison is a paper section in its own right, not an inconvenience. It is worth checking how well Australian eucalypt forest is represented in the L4A calibration before leaning on the absolute values.</w:t>
      </w:r>
    </w:p>
    <w:p>
      <w:pPr>
        <w:spacing w:after="140" w:line="271" w:lineRule="auto"/>
      </w:pPr>
      <w:r>
        <w:rPr>
          <w:i w:val="0"/>
          <w:color w:val="1A1A1A"/>
          <w:sz w:val="21"/>
        </w:rPr>
        <w:t>Neither affects whether the pipeline runs. Both affect what its output can be claimed to mean. The analysis was run without settling either. The first matters less than it did, because no inversion appeared: M′ and GEDI p95 rank cells the same way in every region, even without a protected-area restriction (Spearman 0.20 to 0.74). The second is now central, because the main finding, GEDI above M′ in closed forest, could come from L4A reading high as much as from M′ being low.</w:t>
      </w:r>
    </w:p>
    <w:p>
      <w:pPr>
        <w:pStyle w:val="Heading1"/>
      </w:pPr>
      <w:r>
        <w:rPr>
          <w:color w:val="0B3D62"/>
        </w:rPr>
        <w:t>Files</w:t>
      </w:r>
    </w:p>
    <w:tbl>
      <w:tblPr>
        <w:tblStyle w:val="LightGrid-Accent1"/>
        <w:tblW w:type="auto" w:w="0"/>
        <w:jc w:val="center"/>
        <w:tblLook w:firstColumn="1" w:firstRow="1" w:lastColumn="0" w:lastRow="0" w:noHBand="0" w:noVBand="1" w:val="04A0"/>
      </w:tblPr>
      <w:tblGrid>
        <w:gridCol w:w="2880"/>
        <w:gridCol w:w="2880"/>
        <w:gridCol w:w="2880"/>
      </w:tblGrid>
      <w:tr>
        <w:tc>
          <w:tcPr>
            <w:tcW w:type="dxa" w:w="3168"/>
          </w:tcPr>
          <w:p>
            <w:r/>
            <w:r>
              <w:rPr>
                <w:b/>
                <w:sz w:val="17"/>
              </w:rPr>
              <w:t>file</w:t>
            </w:r>
          </w:p>
        </w:tc>
        <w:tc>
          <w:tcPr>
            <w:tcW w:type="dxa" w:w="4608"/>
          </w:tcPr>
          <w:p>
            <w:r/>
            <w:r>
              <w:rPr>
                <w:b/>
                <w:sz w:val="17"/>
              </w:rPr>
              <w:t>what it does</w:t>
            </w:r>
          </w:p>
        </w:tc>
        <w:tc>
          <w:tcPr>
            <w:tcW w:type="dxa" w:w="1728"/>
          </w:tcPr>
          <w:p>
            <w:r/>
            <w:r>
              <w:rPr>
                <w:b/>
                <w:sz w:val="17"/>
              </w:rPr>
              <w:t>status</w:t>
            </w:r>
          </w:p>
        </w:tc>
      </w:tr>
      <w:tr>
        <w:tc>
          <w:tcPr>
            <w:tcW w:type="dxa" w:w="3168"/>
          </w:tcPr>
          <w:p>
            <w:r/>
            <w:r>
              <w:rPr>
                <w:sz w:val="17"/>
              </w:rPr>
              <w:t>common.py</w:t>
            </w:r>
          </w:p>
        </w:tc>
        <w:tc>
          <w:tcPr>
            <w:tcW w:type="dxa" w:w="4608"/>
          </w:tcPr>
          <w:p>
            <w:r/>
            <w:r>
              <w:rPr>
                <w:sz w:val="17"/>
              </w:rPr>
              <w:t>the NLUM grid, CMR collection resolution, credentials, regions</w:t>
            </w:r>
          </w:p>
        </w:tc>
        <w:tc>
          <w:tcPr>
            <w:tcW w:type="dxa" w:w="1728"/>
          </w:tcPr>
          <w:p>
            <w:r/>
            <w:r>
              <w:rPr>
                <w:sz w:val="17"/>
              </w:rPr>
              <w:t>imported</w:t>
            </w:r>
          </w:p>
        </w:tc>
      </w:tr>
      <w:tr>
        <w:tc>
          <w:tcPr>
            <w:tcW w:type="dxa" w:w="3168"/>
          </w:tcPr>
          <w:p>
            <w:r/>
            <w:r>
              <w:rPr>
                <w:sz w:val="17"/>
              </w:rPr>
              <w:t>setup_earthdata_login.py</w:t>
            </w:r>
          </w:p>
        </w:tc>
        <w:tc>
          <w:tcPr>
            <w:tcW w:type="dxa" w:w="4608"/>
          </w:tcPr>
          <w:p>
            <w:r/>
            <w:r>
              <w:rPr>
                <w:sz w:val="17"/>
              </w:rPr>
              <w:t>stores and checks the Earthdata login in .netrc</w:t>
            </w:r>
          </w:p>
        </w:tc>
        <w:tc>
          <w:tcPr>
            <w:tcW w:type="dxa" w:w="1728"/>
          </w:tcPr>
          <w:p>
            <w:r/>
            <w:r>
              <w:rPr>
                <w:sz w:val="17"/>
              </w:rPr>
              <w:t>run once</w:t>
            </w:r>
          </w:p>
        </w:tc>
      </w:tr>
      <w:tr>
        <w:tc>
          <w:tcPr>
            <w:tcW w:type="dxa" w:w="3168"/>
          </w:tcPr>
          <w:p>
            <w:r/>
            <w:r>
              <w:rPr>
                <w:sz w:val="17"/>
              </w:rPr>
              <w:t>Step_01_check_sources.py</w:t>
            </w:r>
          </w:p>
        </w:tc>
        <w:tc>
          <w:tcPr>
            <w:tcW w:type="dxa" w:w="4608"/>
          </w:tcPr>
          <w:p>
            <w:r/>
            <w:r>
              <w:rPr>
                <w:sz w:val="17"/>
              </w:rPr>
              <w:t>verifies both fixes, sizes the job; no login needed</w:t>
            </w:r>
          </w:p>
        </w:tc>
        <w:tc>
          <w:tcPr>
            <w:tcW w:type="dxa" w:w="1728"/>
          </w:tcPr>
          <w:p>
            <w:r/>
            <w:r>
              <w:rPr>
                <w:sz w:val="17"/>
              </w:rPr>
              <w:t>run</w:t>
            </w:r>
          </w:p>
        </w:tc>
      </w:tr>
      <w:tr>
        <w:tc>
          <w:tcPr>
            <w:tcW w:type="dxa" w:w="3168"/>
          </w:tcPr>
          <w:p>
            <w:r/>
            <w:r>
              <w:rPr>
                <w:sz w:val="17"/>
              </w:rPr>
              <w:t>Step_02_build_fire_mask.py</w:t>
            </w:r>
          </w:p>
        </w:tc>
        <w:tc>
          <w:tcPr>
            <w:tcW w:type="dxa" w:w="4608"/>
          </w:tcPr>
          <w:p>
            <w:r/>
            <w:r>
              <w:rPr>
                <w:sz w:val="17"/>
              </w:rPr>
              <w:t>MCD64A1 to annual burn rasters on the NLUM grid</w:t>
            </w:r>
          </w:p>
        </w:tc>
        <w:tc>
          <w:tcPr>
            <w:tcW w:type="dxa" w:w="1728"/>
          </w:tcPr>
          <w:p>
            <w:r/>
            <w:r>
              <w:rPr>
                <w:sz w:val="17"/>
              </w:rPr>
              <w:t>run, 6 regions</w:t>
            </w:r>
          </w:p>
        </w:tc>
      </w:tr>
      <w:tr>
        <w:tc>
          <w:tcPr>
            <w:tcW w:type="dxa" w:w="3168"/>
          </w:tcPr>
          <w:p>
            <w:r/>
            <w:r>
              <w:rPr>
                <w:sz w:val="17"/>
              </w:rPr>
              <w:t>Step_03_fetch_gedi.py</w:t>
            </w:r>
          </w:p>
        </w:tc>
        <w:tc>
          <w:tcPr>
            <w:tcW w:type="dxa" w:w="4608"/>
          </w:tcPr>
          <w:p>
            <w:r/>
            <w:r>
              <w:rPr>
                <w:sz w:val="17"/>
              </w:rPr>
              <w:t>GEDI L4A footprints, tagged with NLUM cell identity</w:t>
            </w:r>
          </w:p>
        </w:tc>
        <w:tc>
          <w:tcPr>
            <w:tcW w:type="dxa" w:w="1728"/>
          </w:tcPr>
          <w:p>
            <w:r/>
            <w:r>
              <w:rPr>
                <w:sz w:val="17"/>
              </w:rPr>
              <w:t>run, 6 regions</w:t>
            </w:r>
          </w:p>
        </w:tc>
      </w:tr>
      <w:tr>
        <w:tc>
          <w:tcPr>
            <w:tcW w:type="dxa" w:w="3168"/>
          </w:tcPr>
          <w:p>
            <w:r/>
            <w:r>
              <w:rPr>
                <w:sz w:val="17"/>
              </w:rPr>
              <w:t>Step_04_aggregate_cells.py</w:t>
            </w:r>
          </w:p>
        </w:tc>
        <w:tc>
          <w:tcPr>
            <w:tcW w:type="dxa" w:w="4608"/>
          </w:tcPr>
          <w:p>
            <w:r/>
            <w:r>
              <w:rPr>
                <w:sz w:val="17"/>
              </w:rPr>
              <w:t>cell summaries, M′, FPI, fire flags; writes all and unburnt</w:t>
            </w:r>
          </w:p>
        </w:tc>
        <w:tc>
          <w:tcPr>
            <w:tcW w:type="dxa" w:w="1728"/>
          </w:tcPr>
          <w:p>
            <w:r/>
            <w:r>
              <w:rPr>
                <w:sz w:val="17"/>
              </w:rPr>
              <w:t>run, both layers</w:t>
            </w:r>
          </w:p>
        </w:tc>
      </w:tr>
      <w:tr>
        <w:tc>
          <w:tcPr>
            <w:tcW w:type="dxa" w:w="3168"/>
          </w:tcPr>
          <w:p>
            <w:r/>
            <w:r>
              <w:rPr>
                <w:sz w:val="17"/>
              </w:rPr>
              <w:t>Step_05_analyse_vs_M.py</w:t>
            </w:r>
          </w:p>
        </w:tc>
        <w:tc>
          <w:tcPr>
            <w:tcW w:type="dxa" w:w="4608"/>
          </w:tcPr>
          <w:p>
            <w:r/>
            <w:r>
              <w:rPr>
                <w:sz w:val="17"/>
              </w:rPr>
              <w:t>exceedance, bins, regions, elasticity, figures</w:t>
            </w:r>
          </w:p>
        </w:tc>
        <w:tc>
          <w:tcPr>
            <w:tcW w:type="dxa" w:w="1728"/>
          </w:tcPr>
          <w:p>
            <w:r/>
            <w:r>
              <w:rPr>
                <w:sz w:val="17"/>
              </w:rPr>
              <w:t>run</w:t>
            </w:r>
          </w:p>
        </w:tc>
      </w:tr>
      <w:tr>
        <w:tc>
          <w:tcPr>
            <w:tcW w:type="dxa" w:w="3168"/>
          </w:tcPr>
          <w:p>
            <w:r/>
            <w:r>
              <w:rPr>
                <w:sz w:val="17"/>
              </w:rPr>
              <w:t>make_validation_gedi_report.py</w:t>
            </w:r>
          </w:p>
        </w:tc>
        <w:tc>
          <w:tcPr>
            <w:tcW w:type="dxa" w:w="4608"/>
          </w:tcPr>
          <w:p>
            <w:r/>
            <w:r>
              <w:rPr>
                <w:sz w:val="17"/>
              </w:rPr>
              <w:t>builds Validation_GEDI_report.docx (the results)</w:t>
            </w:r>
          </w:p>
        </w:tc>
        <w:tc>
          <w:tcPr>
            <w:tcW w:type="dxa" w:w="1728"/>
          </w:tcPr>
          <w:p>
            <w:r/>
            <w:r>
              <w:rPr>
                <w:sz w:val="17"/>
              </w:rPr>
              <w:t>run</w:t>
            </w:r>
          </w:p>
        </w:tc>
      </w:tr>
      <w:tr>
        <w:tc>
          <w:tcPr>
            <w:tcW w:type="dxa" w:w="3168"/>
          </w:tcPr>
          <w:p>
            <w:r/>
            <w:r>
              <w:rPr>
                <w:sz w:val="17"/>
              </w:rPr>
              <w:t>make_validation_gedi_doc.py</w:t>
            </w:r>
          </w:p>
        </w:tc>
        <w:tc>
          <w:tcPr>
            <w:tcW w:type="dxa" w:w="4608"/>
          </w:tcPr>
          <w:p>
            <w:r/>
            <w:r>
              <w:rPr>
                <w:sz w:val="17"/>
              </w:rPr>
              <w:t>builds this document</w:t>
            </w:r>
          </w:p>
        </w:tc>
        <w:tc>
          <w:tcPr>
            <w:tcW w:type="dxa" w:w="1728"/>
          </w:tcPr>
          <w:p>
            <w:r/>
            <w:r>
              <w:rPr>
                <w:sz w:val="17"/>
              </w:rPr>
              <w:t>run</w:t>
            </w:r>
          </w:p>
        </w:tc>
      </w:tr>
      <w:tr>
        <w:tc>
          <w:tcPr>
            <w:tcW w:type="dxa" w:w="3168"/>
          </w:tcPr>
          <w:p>
            <w:r/>
            <w:r>
              <w:rPr>
                <w:sz w:val="17"/>
              </w:rPr>
              <w:t>outputs/source_check.csv</w:t>
            </w:r>
          </w:p>
        </w:tc>
        <w:tc>
          <w:tcPr>
            <w:tcW w:type="dxa" w:w="4608"/>
          </w:tcPr>
          <w:p>
            <w:r/>
            <w:r>
              <w:rPr>
                <w:sz w:val="17"/>
              </w:rPr>
              <w:t>the granule and volume table</w:t>
            </w:r>
          </w:p>
        </w:tc>
        <w:tc>
          <w:tcPr>
            <w:tcW w:type="dxa" w:w="1728"/>
          </w:tcPr>
          <w:p>
            <w:r/>
            <w:r>
              <w:rPr>
                <w:sz w:val="17"/>
              </w:rPr>
              <w:t>-</w:t>
            </w:r>
          </w:p>
        </w:tc>
      </w:tr>
      <w:tr>
        <w:tc>
          <w:tcPr>
            <w:tcW w:type="dxa" w:w="3168"/>
          </w:tcPr>
          <w:p>
            <w:r/>
            <w:r>
              <w:rPr>
                <w:sz w:val="17"/>
              </w:rPr>
              <w:t>outputs/gedi_l4a_footprints.parquet</w:t>
            </w:r>
          </w:p>
        </w:tc>
        <w:tc>
          <w:tcPr>
            <w:tcW w:type="dxa" w:w="4608"/>
          </w:tcPr>
          <w:p>
            <w:r/>
            <w:r>
              <w:rPr>
                <w:sz w:val="17"/>
              </w:rPr>
              <w:t>every filtered footprint with its NLUM cell</w:t>
            </w:r>
          </w:p>
        </w:tc>
        <w:tc>
          <w:tcPr>
            <w:tcW w:type="dxa" w:w="1728"/>
          </w:tcPr>
          <w:p>
            <w:r/>
            <w:r>
              <w:rPr>
                <w:sz w:val="17"/>
              </w:rPr>
              <w:t>-</w:t>
            </w:r>
          </w:p>
        </w:tc>
      </w:tr>
      <w:tr>
        <w:tc>
          <w:tcPr>
            <w:tcW w:type="dxa" w:w="3168"/>
          </w:tcPr>
          <w:p>
            <w:r/>
            <w:r>
              <w:rPr>
                <w:sz w:val="17"/>
              </w:rPr>
              <w:t>outputs/gedi_cells_*.csv, analysis/, figures/</w:t>
            </w:r>
          </w:p>
        </w:tc>
        <w:tc>
          <w:tcPr>
            <w:tcW w:type="dxa" w:w="4608"/>
          </w:tcPr>
          <w:p>
            <w:r/>
            <w:r>
              <w:rPr>
                <w:sz w:val="17"/>
              </w:rPr>
              <w:t>Step 4 and 5 results</w:t>
            </w:r>
          </w:p>
        </w:tc>
        <w:tc>
          <w:tcPr>
            <w:tcW w:type="dxa" w:w="1728"/>
          </w:tcPr>
          <w:p>
            <w:r/>
            <w:r>
              <w:rPr>
                <w:sz w:val="17"/>
              </w:rPr>
              <w:t>-</w:t>
            </w:r>
          </w:p>
        </w:tc>
      </w:tr>
      <w:tr>
        <w:tc>
          <w:tcPr>
            <w:tcW w:type="dxa" w:w="3168"/>
          </w:tcPr>
          <w:p>
            <w:r/>
            <w:r>
              <w:rPr>
                <w:sz w:val="17"/>
              </w:rPr>
              <w:t>outputs/_vic_central_only/</w:t>
            </w:r>
          </w:p>
        </w:tc>
        <w:tc>
          <w:tcPr>
            <w:tcW w:type="dxa" w:w="4608"/>
          </w:tcPr>
          <w:p>
            <w:r/>
            <w:r>
              <w:rPr>
                <w:sz w:val="17"/>
              </w:rPr>
              <w:t>Step 4 and 5 results from the pilot, kept for comparison</w:t>
            </w:r>
          </w:p>
        </w:tc>
        <w:tc>
          <w:tcPr>
            <w:tcW w:type="dxa" w:w="1728"/>
          </w:tcPr>
          <w:p>
            <w:r/>
            <w:r>
              <w:rPr>
                <w:sz w:val="17"/>
              </w:rPr>
              <w:t>-</w:t>
            </w:r>
          </w:p>
        </w:tc>
      </w:tr>
      <w:tr>
        <w:tc>
          <w:tcPr>
            <w:tcW w:type="dxa" w:w="3168"/>
          </w:tcPr>
          <w:p>
            <w:r/>
            <w:r>
              <w:rPr>
                <w:sz w:val="17"/>
              </w:rPr>
              <w:t>fire/</w:t>
            </w:r>
          </w:p>
        </w:tc>
        <w:tc>
          <w:tcPr>
            <w:tcW w:type="dxa" w:w="4608"/>
          </w:tcPr>
          <w:p>
            <w:r/>
            <w:r>
              <w:rPr>
                <w:sz w:val="17"/>
              </w:rPr>
              <w:t>burn_year_YYYY.tif and last_burn_year.tif</w:t>
            </w:r>
          </w:p>
        </w:tc>
        <w:tc>
          <w:tcPr>
            <w:tcW w:type="dxa" w:w="1728"/>
          </w:tcPr>
          <w:p>
            <w:r/>
            <w:r>
              <w:rPr>
                <w:sz w:val="17"/>
              </w:rPr>
              <w:t>-</w:t>
            </w:r>
          </w:p>
        </w:tc>
      </w:tr>
      <w:tr>
        <w:tc>
          <w:tcPr>
            <w:tcW w:type="dxa" w:w="3168"/>
          </w:tcPr>
          <w:p>
            <w:r/>
            <w:r>
              <w:rPr>
                <w:sz w:val="17"/>
              </w:rPr>
              <w:t>../Option_B_matched_footing/Validation/files/</w:t>
            </w:r>
          </w:p>
        </w:tc>
        <w:tc>
          <w:tcPr>
            <w:tcW w:type="dxa" w:w="4608"/>
          </w:tcPr>
          <w:p>
            <w:r/>
            <w:r>
              <w:rPr>
                <w:sz w:val="17"/>
              </w:rPr>
              <w:t>the original scripts, unmodified</w:t>
            </w:r>
          </w:p>
        </w:tc>
        <w:tc>
          <w:tcPr>
            <w:tcW w:type="dxa" w:w="1728"/>
          </w:tcPr>
          <w:p>
            <w:r/>
            <w:r>
              <w:rPr>
                <w:sz w:val="17"/>
              </w:rPr>
              <w:t>-</w:t>
            </w:r>
          </w:p>
        </w:tc>
      </w:tr>
    </w:tbl>
    <w:p>
      <w:pPr>
        <w:spacing w:after="4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