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3D62"/>
        </w:rPr>
        <w:t>Validating M′ with GEDI L4A</w:t>
      </w:r>
    </w:p>
    <w:p>
      <w:pPr>
        <w:spacing w:after="140" w:line="271" w:lineRule="auto"/>
      </w:pPr>
      <w:r>
        <w:rPr>
          <w:i w:val="0"/>
          <w:color w:val="606060"/>
          <w:sz w:val="24"/>
        </w:rPr>
        <w:t>The full chain from Step 0 (raw data) to future maximum aboveground biomass, and what GEDI lidar can and cannot say about it. Six forested regions of eastern and south-western Australia.</w:t>
      </w:r>
    </w:p>
    <w:p>
      <w:pPr>
        <w:spacing w:after="280" w:line="271" w:lineRule="auto"/>
      </w:pPr>
      <w:r>
        <w:rPr>
          <w:i/>
          <w:color w:val="606060"/>
          <w:sz w:val="18"/>
        </w:rPr>
        <w:t>Built 17 September 2026 by make_validation_gedi_report.py. Every result number is read from the CSV outputs at build time.</w:t>
      </w:r>
    </w:p>
    <w:p>
      <w:pPr>
        <w:pStyle w:val="Heading1"/>
      </w:pPr>
      <w:r>
        <w:rPr>
          <w:color w:val="0B3D62"/>
        </w:rPr>
        <w:t>Summary</w:t>
      </w:r>
    </w:p>
    <w:p>
      <w:pPr>
        <w:spacing w:after="140" w:line="271" w:lineRule="auto"/>
      </w:pPr>
      <w:r>
        <w:rPr>
          <w:i w:val="0"/>
          <w:color w:val="1A1A1A"/>
          <w:sz w:val="21"/>
        </w:rPr>
        <w:t>M′ is the biomass a site can reach at maturity. The FullCAM future inputs are future M′ for four SSPs over 2035-2064 and 2070-2099. GEDI measured forest structure from 2019 to 2024, so it cannot observe future M′ directly. It can test the two things future M′ is built from: the present-day level of M′, and how steeply biomass rises with the Forest Productivity Index (FPI), which Eq. (1) turns into the projected change. This report does both, against two present-day M′ layers, in six forested regions: vic_central, vic_gippsland, tasmania, nsw_southeast, nsw_north_seqld and wa_southwest.</w:t>
      </w:r>
    </w:p>
    <w:tbl>
      <w:tblPr>
        <w:tblStyle w:val="LightGrid-Accent1"/>
        <w:tblW w:type="auto" w:w="0"/>
        <w:jc w:val="center"/>
        <w:tblLook w:firstColumn="1" w:firstRow="1" w:lastColumn="0" w:lastRow="0" w:noHBand="0" w:noVBand="1" w:val="04A0"/>
      </w:tblPr>
      <w:tblGrid>
        <w:gridCol w:w="3216"/>
        <w:gridCol w:w="3216"/>
        <w:gridCol w:w="3216"/>
      </w:tblGrid>
      <w:tr>
        <w:tc>
          <w:tcPr>
            <w:tcW w:type="dxa" w:w="3744"/>
          </w:tcPr>
          <w:p>
            <w:r/>
            <w:r>
              <w:rPr>
                <w:b/>
                <w:sz w:val="17"/>
              </w:rPr>
            </w:r>
          </w:p>
        </w:tc>
        <w:tc>
          <w:tcPr>
            <w:tcW w:type="dxa" w:w="2736"/>
          </w:tcPr>
          <w:p>
            <w:r/>
            <w:r>
              <w:rPr>
                <w:b/>
                <w:sz w:val="17"/>
              </w:rPr>
              <w:t>New_M_2019</w:t>
            </w:r>
          </w:p>
        </w:tc>
        <w:tc>
          <w:tcPr>
            <w:tcW w:type="dxa" w:w="2736"/>
          </w:tcPr>
          <w:p>
            <w:r/>
            <w:r>
              <w:rPr>
                <w:b/>
                <w:sz w:val="17"/>
              </w:rPr>
              <w:t>baseline_M_1985-2014</w:t>
            </w:r>
          </w:p>
        </w:tc>
      </w:tr>
      <w:tr>
        <w:tc>
          <w:tcPr>
            <w:tcW w:type="dxa" w:w="3744"/>
          </w:tcPr>
          <w:p>
            <w:r/>
            <w:r>
              <w:rPr>
                <w:sz w:val="17"/>
              </w:rPr>
              <w:t>What it is</w:t>
            </w:r>
          </w:p>
        </w:tc>
        <w:tc>
          <w:tcPr>
            <w:tcW w:type="dxa" w:w="2736"/>
          </w:tcPr>
          <w:p>
            <w:r/>
            <w:r>
              <w:rPr>
                <w:sz w:val="17"/>
              </w:rPr>
              <w:t>FullCAM historical input; matched footing (Option B)</w:t>
            </w:r>
          </w:p>
        </w:tc>
        <w:tc>
          <w:tcPr>
            <w:tcW w:type="dxa" w:w="2736"/>
          </w:tcPr>
          <w:p>
            <w:r/>
            <w:r>
              <w:rPr>
                <w:sz w:val="17"/>
              </w:rPr>
              <w:t>Eq. (1) footing (Option A); used by the paper and current FullCAM future inputs</w:t>
            </w:r>
          </w:p>
        </w:tc>
      </w:tr>
      <w:tr>
        <w:tc>
          <w:tcPr>
            <w:tcW w:type="dxa" w:w="3744"/>
          </w:tcPr>
          <w:p>
            <w:r/>
            <w:r>
              <w:rPr>
                <w:sz w:val="17"/>
              </w:rPr>
              <w:t>NLUM cells compared (fire-excluded)</w:t>
            </w:r>
          </w:p>
        </w:tc>
        <w:tc>
          <w:tcPr>
            <w:tcW w:type="dxa" w:w="2736"/>
          </w:tcPr>
          <w:p>
            <w:r/>
            <w:r>
              <w:rPr>
                <w:sz w:val="17"/>
              </w:rPr>
              <w:t>133,429</w:t>
            </w:r>
          </w:p>
        </w:tc>
        <w:tc>
          <w:tcPr>
            <w:tcW w:type="dxa" w:w="2736"/>
          </w:tcPr>
          <w:p>
            <w:r/>
            <w:r>
              <w:rPr>
                <w:sz w:val="17"/>
              </w:rPr>
              <w:t>133,429</w:t>
            </w:r>
          </w:p>
        </w:tc>
      </w:tr>
      <w:tr>
        <w:tc>
          <w:tcPr>
            <w:tcW w:type="dxa" w:w="3744"/>
          </w:tcPr>
          <w:p>
            <w:r/>
            <w:r>
              <w:rPr>
                <w:sz w:val="17"/>
              </w:rPr>
              <w:t>Median M′ in these cells (t DM/ha)</w:t>
            </w:r>
          </w:p>
        </w:tc>
        <w:tc>
          <w:tcPr>
            <w:tcW w:type="dxa" w:w="2736"/>
          </w:tcPr>
          <w:p>
            <w:r/>
            <w:r>
              <w:rPr>
                <w:sz w:val="17"/>
              </w:rPr>
              <w:t>189.7</w:t>
            </w:r>
          </w:p>
        </w:tc>
        <w:tc>
          <w:tcPr>
            <w:tcW w:type="dxa" w:w="2736"/>
          </w:tcPr>
          <w:p>
            <w:r/>
            <w:r>
              <w:rPr>
                <w:sz w:val="17"/>
              </w:rPr>
              <w:t>223.2</w:t>
            </w:r>
          </w:p>
        </w:tc>
      </w:tr>
      <w:tr>
        <w:tc>
          <w:tcPr>
            <w:tcW w:type="dxa" w:w="3744"/>
          </w:tcPr>
          <w:p>
            <w:r/>
            <w:r>
              <w:rPr>
                <w:sz w:val="17"/>
              </w:rPr>
              <w:t>Median GEDI p95, fixed n = 30 (t DM/ha)</w:t>
            </w:r>
          </w:p>
        </w:tc>
        <w:tc>
          <w:tcPr>
            <w:tcW w:type="dxa" w:w="2736"/>
          </w:tcPr>
          <w:p>
            <w:r/>
            <w:r>
              <w:rPr>
                <w:sz w:val="17"/>
              </w:rPr>
              <w:t>196.8</w:t>
            </w:r>
          </w:p>
        </w:tc>
        <w:tc>
          <w:tcPr>
            <w:tcW w:type="dxa" w:w="2736"/>
          </w:tcPr>
          <w:p>
            <w:r/>
            <w:r>
              <w:rPr>
                <w:sz w:val="17"/>
              </w:rPr>
              <w:t>196.8</w:t>
            </w:r>
          </w:p>
        </w:tc>
      </w:tr>
      <w:tr>
        <w:tc>
          <w:tcPr>
            <w:tcW w:type="dxa" w:w="3744"/>
          </w:tcPr>
          <w:p>
            <w:r/>
            <w:r>
              <w:rPr>
                <w:sz w:val="17"/>
              </w:rPr>
              <w:t>Cells where GEDI cell MEAN &gt; M′</w:t>
            </w:r>
          </w:p>
        </w:tc>
        <w:tc>
          <w:tcPr>
            <w:tcW w:type="dxa" w:w="2736"/>
          </w:tcPr>
          <w:p>
            <w:r/>
            <w:r>
              <w:rPr>
                <w:sz w:val="17"/>
              </w:rPr>
              <w:t>16.7%</w:t>
            </w:r>
          </w:p>
        </w:tc>
        <w:tc>
          <w:tcPr>
            <w:tcW w:type="dxa" w:w="2736"/>
          </w:tcPr>
          <w:p>
            <w:r/>
            <w:r>
              <w:rPr>
                <w:sz w:val="17"/>
              </w:rPr>
              <w:t>12.8%</w:t>
            </w:r>
          </w:p>
        </w:tc>
      </w:tr>
      <w:tr>
        <w:tc>
          <w:tcPr>
            <w:tcW w:type="dxa" w:w="3744"/>
          </w:tcPr>
          <w:p>
            <w:r/>
            <w:r>
              <w:rPr>
                <w:sz w:val="17"/>
              </w:rPr>
              <w:t>Cells where GEDI p95 (n = 30) &gt; M′</w:t>
            </w:r>
          </w:p>
        </w:tc>
        <w:tc>
          <w:tcPr>
            <w:tcW w:type="dxa" w:w="2736"/>
          </w:tcPr>
          <w:p>
            <w:r/>
            <w:r>
              <w:rPr>
                <w:sz w:val="17"/>
              </w:rPr>
              <w:t>48.1%</w:t>
            </w:r>
          </w:p>
        </w:tc>
        <w:tc>
          <w:tcPr>
            <w:tcW w:type="dxa" w:w="2736"/>
          </w:tcPr>
          <w:p>
            <w:r/>
            <w:r>
              <w:rPr>
                <w:sz w:val="17"/>
              </w:rPr>
              <w:t>41.0%</w:t>
            </w:r>
          </w:p>
        </w:tc>
      </w:tr>
      <w:tr>
        <w:tc>
          <w:tcPr>
            <w:tcW w:type="dxa" w:w="3744"/>
          </w:tcPr>
          <w:p>
            <w:r/>
            <w:r>
              <w:rPr>
                <w:sz w:val="17"/>
              </w:rPr>
              <w:t>Same, footprints pushed to lower 90% bound</w:t>
            </w:r>
          </w:p>
        </w:tc>
        <w:tc>
          <w:tcPr>
            <w:tcW w:type="dxa" w:w="2736"/>
          </w:tcPr>
          <w:p>
            <w:r/>
            <w:r>
              <w:rPr>
                <w:sz w:val="17"/>
              </w:rPr>
              <w:t>45.6%</w:t>
            </w:r>
          </w:p>
        </w:tc>
        <w:tc>
          <w:tcPr>
            <w:tcW w:type="dxa" w:w="2736"/>
          </w:tcPr>
          <w:p>
            <w:r/>
            <w:r>
              <w:rPr>
                <w:sz w:val="17"/>
              </w:rPr>
              <w:t>38.8%</w:t>
            </w:r>
          </w:p>
        </w:tc>
      </w:tr>
      <w:tr>
        <w:tc>
          <w:tcPr>
            <w:tcW w:type="dxa" w:w="3744"/>
          </w:tcPr>
          <w:p>
            <w:r/>
            <w:r>
              <w:rPr>
                <w:sz w:val="17"/>
              </w:rPr>
              <w:t>Spearman rank correlation, M′ vs GEDI p95</w:t>
            </w:r>
          </w:p>
        </w:tc>
        <w:tc>
          <w:tcPr>
            <w:tcW w:type="dxa" w:w="2736"/>
          </w:tcPr>
          <w:p>
            <w:r/>
            <w:r>
              <w:rPr>
                <w:sz w:val="17"/>
              </w:rPr>
              <w:t>0.52</w:t>
            </w:r>
          </w:p>
        </w:tc>
        <w:tc>
          <w:tcPr>
            <w:tcW w:type="dxa" w:w="2736"/>
          </w:tcPr>
          <w:p>
            <w:r/>
            <w:r>
              <w:rPr>
                <w:sz w:val="17"/>
              </w:rPr>
              <w:t>0.52</w:t>
            </w:r>
          </w:p>
        </w:tc>
      </w:tr>
      <w:tr>
        <w:tc>
          <w:tcPr>
            <w:tcW w:type="dxa" w:w="3744"/>
          </w:tcPr>
          <w:p>
            <w:r/>
            <w:r>
              <w:rPr>
                <w:sz w:val="17"/>
              </w:rPr>
              <w:t>Log-log slope vs FPI, M′ (GEDI p95: 1.66)</w:t>
            </w:r>
          </w:p>
        </w:tc>
        <w:tc>
          <w:tcPr>
            <w:tcW w:type="dxa" w:w="2736"/>
          </w:tcPr>
          <w:p>
            <w:r/>
            <w:r>
              <w:rPr>
                <w:sz w:val="17"/>
              </w:rPr>
              <w:t>1.16</w:t>
            </w:r>
          </w:p>
        </w:tc>
        <w:tc>
          <w:tcPr>
            <w:tcW w:type="dxa" w:w="2736"/>
          </w:tcPr>
          <w:p>
            <w:r/>
            <w:r>
              <w:rPr>
                <w:sz w:val="17"/>
              </w:rPr>
              <w:t>1.00</w:t>
            </w:r>
          </w:p>
        </w:tc>
      </w:tr>
    </w:tbl>
    <w:p>
      <w:pPr>
        <w:spacing w:after="40"/>
      </w:pPr>
    </w:p>
    <w:p>
      <w:pPr>
        <w:spacing w:after="140" w:line="271" w:lineRule="auto"/>
      </w:pPr>
      <w:r>
        <w:rPr>
          <w:b/>
          <w:color w:val="1A1A1A"/>
          <w:sz w:val="21"/>
        </w:rPr>
        <w:t xml:space="preserve">Finding 1. The ranking of M′ is right, but only moderately. </w:t>
      </w:r>
      <w:r>
        <w:rPr>
          <w:b w:val="0"/>
          <w:color w:val="1A1A1A"/>
          <w:sz w:val="21"/>
        </w:rPr>
        <w:t>Pooled over the six regions, both layers rank cells the way GEDI does (Spearman 0.52 and 0.52), and the correlation is positive in every region, from 0.20 (nsw_southeast) to 0.74 (vic_central). The −0.60 once found in 77 library plots does not appear, but the vic_central pilot overstated how well M′ ranks cells elsewhere.</w:t>
      </w:r>
    </w:p>
    <w:p>
      <w:pPr>
        <w:spacing w:after="140" w:line="271" w:lineRule="auto"/>
      </w:pPr>
      <w:r>
        <w:rPr>
          <w:b/>
          <w:color w:val="1A1A1A"/>
          <w:sz w:val="21"/>
        </w:rPr>
        <w:t xml:space="preserve">Finding 2. M′ is too low in productive closed forest, under either footing, and not in open or cleared country. </w:t>
      </w:r>
      <w:r>
        <w:rPr>
          <w:b w:val="0"/>
          <w:color w:val="1A1A1A"/>
          <w:sz w:val="21"/>
        </w:rPr>
        <w:t>GEDI's upper envelope (p95) is above M′ in 48.1% of cells for New_M_2019 and 41.0% for baseline_M, and the cell mean, which includes gaps, young regrowth and logged coupes, is above the supposed maximum in 16.7% and 12.8%. Exceedance rises with FPI, from 24.9% of cells at FPI ≤ 8 to 66.3% and 61.9% in the most productive cells, and it differs by region, from 22.0% in wa_southwest to 62.6% in vic_central. Pushing every footprint to the bottom of its 90% interval removes only 2.5 percentage points.</w:t>
      </w:r>
    </w:p>
    <w:p>
      <w:pPr>
        <w:spacing w:after="140" w:line="271" w:lineRule="auto"/>
      </w:pPr>
      <w:r>
        <w:rPr>
          <w:b/>
          <w:color w:val="1A1A1A"/>
          <w:sz w:val="21"/>
        </w:rPr>
        <w:t xml:space="preserve">Finding 3. baseline_M fits GEDI better, but not for a reason that justifies choosing it. </w:t>
      </w:r>
      <w:r>
        <w:rPr>
          <w:b w:val="0"/>
          <w:color w:val="1A1A1A"/>
          <w:sz w:val="21"/>
        </w:rPr>
        <w:t>In these cells baseline_M is 1.17× New_M_2019 (median; ×1.46 nationally for Eq. (1) against Original_M_2004), and its extra height comes from mixing Eq. (1) with a lambda that was divided by a different M. A layer that is too high by construction happens to sit closer to a ceiling that GEDI says is too low. Both layers fail the envelope test in more than 40% of cells.</w:t>
      </w:r>
    </w:p>
    <w:p>
      <w:pPr>
        <w:spacing w:after="140" w:line="271" w:lineRule="auto"/>
      </w:pPr>
      <w:r>
        <w:rPr>
          <w:b/>
          <w:color w:val="1A1A1A"/>
          <w:sz w:val="21"/>
        </w:rPr>
        <w:t xml:space="preserve">Finding 4. For future M′, the projected change is more likely conservative than exaggerated. </w:t>
      </w:r>
      <w:r>
        <w:rPr>
          <w:b w:val="0"/>
          <w:color w:val="1A1A1A"/>
          <w:sz w:val="21"/>
        </w:rPr>
        <w:t>Future M′ moves with Eq1(FPI), whose elasticity at the median FPI of closed evergreen broadleaf cells (11.0) is 1.36. Across space, GEDI p95 rises with FPI at a log-log slope of 1.66 [1.64, 1.69], about 1.2× as steep, and it is steeper than Eq. (1) in 5 of 6 regions. The gap sits mainly below FPI 10; above it GEDI follows the Eq. (1) shape closely (Figure 4). This is milder than the roughly twofold gap in vic_central alone, and in the same direction as the earlier national analysis (Option B Suggestion 4). Space-for-time is not proof: across space, FPI also tracks species, stand age, clearing and terrain.</w:t>
      </w:r>
    </w:p>
    <w:p>
      <w:pPr>
        <w:spacing w:after="80"/>
        <w:ind w:left="288"/>
      </w:pPr>
      <w:r>
        <w:rPr>
          <w:b/>
          <w:color w:val="9A6B11"/>
          <w:sz w:val="20"/>
        </w:rPr>
        <w:t>Scope</w:t>
      </w:r>
    </w:p>
    <w:p>
      <w:pPr>
        <w:spacing w:after="200" w:line="271" w:lineRule="auto"/>
        <w:ind w:left="288"/>
      </w:pPr>
      <w:r>
        <w:rPr>
          <w:color w:val="1A1A1A"/>
          <w:sz w:val="21"/>
        </w:rPr>
        <w:t>Six regions chosen for tall and open eucalypt forest, not a sample of Australia: they cover 133,429 NLUM cells with at least 30 unburnt footprints, against 6,956,407 land cells nationally. Rates are pooled over these regions and must not be quoted as national rates. Each box also takes in cleared land (most of all the wheatbelt edge of wa_southwest), which lowers the pooled rates.</w:t>
      </w:r>
    </w:p>
    <w:p>
      <w:pPr>
        <w:pStyle w:val="Heading1"/>
      </w:pPr>
      <w:r>
        <w:rPr>
          <w:color w:val="0B3D62"/>
        </w:rPr>
        <w:t>1. What is being validated</w:t>
      </w:r>
    </w:p>
    <w:p>
      <w:pPr>
        <w:spacing w:after="140" w:line="271" w:lineRule="auto"/>
      </w:pPr>
      <w:r>
        <w:rPr>
          <w:i w:val="0"/>
          <w:color w:val="1A1A1A"/>
          <w:sz w:val="21"/>
        </w:rPr>
        <w:t>Roxburgh et al. (2019) Eq. (1) links M, the maximum aboveground biomass, to FPI:</w:t>
      </w:r>
    </w:p>
    <w:p>
      <w:pPr>
        <w:spacing w:after="20"/>
        <w:ind w:left="432"/>
      </w:pPr>
      <w:r>
        <w:rPr>
          <w:rFonts w:ascii="Consolas" w:hAnsi="Consolas"/>
          <w:color w:val="222222"/>
          <w:sz w:val="17"/>
        </w:rPr>
        <w:t>M = (6.011 × √FPI − 5.291)²      t DM/ha  (Eq. 1)</w:t>
      </w:r>
    </w:p>
    <w:p>
      <w:pPr>
        <w:spacing w:after="20"/>
        <w:ind w:left="432"/>
      </w:pPr>
      <w:r>
        <w:rPr>
          <w:rFonts w:ascii="Consolas" w:hAnsi="Consolas"/>
          <w:color w:val="222222"/>
          <w:sz w:val="17"/>
        </w:rPr>
        <w:t>M′ = λ × M                              (Eq. 3)</w:t>
      </w:r>
    </w:p>
    <w:p>
      <w:pPr>
        <w:spacing w:after="140" w:line="271" w:lineRule="auto"/>
      </w:pPr>
      <w:r>
        <w:rPr>
          <w:i w:val="0"/>
          <w:color w:val="1A1A1A"/>
          <w:sz w:val="21"/>
        </w:rPr>
        <w:t>The projection in this repository makes future M′ by scaling a present-day M′ by the Eq. (1) ratio of future to historical FPI:</w:t>
      </w:r>
    </w:p>
    <w:p>
      <w:pPr>
        <w:spacing w:after="20"/>
        <w:ind w:left="432"/>
      </w:pPr>
      <w:r>
        <w:rPr>
          <w:rFonts w:ascii="Consolas" w:hAnsi="Consolas"/>
          <w:color w:val="222222"/>
          <w:sz w:val="17"/>
        </w:rPr>
        <w:t>M′_future = M′_present × Eq1(FPI_future) / Eq1(FPI_1985-2014)</w:t>
      </w:r>
    </w:p>
    <w:p>
      <w:pPr>
        <w:spacing w:after="140" w:line="271" w:lineRule="auto"/>
      </w:pPr>
      <w:r>
        <w:rPr>
          <w:i w:val="0"/>
          <w:color w:val="1A1A1A"/>
          <w:sz w:val="21"/>
        </w:rPr>
        <w:t>So future M′ is right only if two things are right:</w:t>
      </w:r>
    </w:p>
    <w:p>
      <w:pPr>
        <w:pStyle w:val="ListNumber"/>
        <w:spacing w:after="80"/>
      </w:pPr>
      <w:r>
        <w:rPr>
          <w:color w:val="1A1A1A"/>
          <w:sz w:val="21"/>
        </w:rPr>
        <w:t>the present-day level M′_present, which GEDI can test directly, because 2019-2024 is 'present' to within the uncertainty of the layer; and</w:t>
      </w:r>
    </w:p>
    <w:p>
      <w:pPr>
        <w:pStyle w:val="ListNumber"/>
        <w:spacing w:after="80"/>
      </w:pPr>
      <w:r>
        <w:rPr>
          <w:color w:val="1A1A1A"/>
          <w:sz w:val="21"/>
        </w:rPr>
        <w:t>the response, how much M′ moves when FPI moves. GEDI can test this only indirectly, by comparing how biomass varies with FPI across space with what Eq. (1) assumes.</w:t>
      </w:r>
    </w:p>
    <w:p>
      <w:pPr>
        <w:spacing w:after="140" w:line="271" w:lineRule="auto"/>
      </w:pPr>
      <w:r>
        <w:rPr>
          <w:i w:val="0"/>
          <w:color w:val="1A1A1A"/>
          <w:sz w:val="21"/>
        </w:rPr>
        <w:t>Future FPI itself is validated separately, by the random forest's year-group cross-validation (Section 2.4). GEDI adds nothing there.</w:t>
      </w:r>
    </w:p>
    <w:p>
      <w:pPr>
        <w:pStyle w:val="Heading2"/>
      </w:pPr>
      <w:r>
        <w:rPr>
          <w:color w:val="0B3D62"/>
        </w:rPr>
        <w:t>1.1 Why the test is an envelope, not a regression</w:t>
      </w:r>
    </w:p>
    <w:p>
      <w:pPr>
        <w:spacing w:after="140" w:line="271" w:lineRule="auto"/>
      </w:pPr>
      <w:r>
        <w:rPr>
          <w:i w:val="0"/>
          <w:color w:val="1A1A1A"/>
          <w:sz w:val="21"/>
        </w:rPr>
        <w:t>M′ is a maximum. GEDI measures what stands today, after clearing, logging, fire and a century of disturbance. GEDI below M′ is expected and proves nothing. GEDI above M′ is the only direct evidence against it. So the headline statistics are exceedance rates, not R², and three GEDI statistics are used, from strongest to weakest evidence:</w:t>
      </w:r>
    </w:p>
    <w:tbl>
      <w:tblPr>
        <w:tblStyle w:val="LightGrid-Accent1"/>
        <w:tblW w:type="auto" w:w="0"/>
        <w:jc w:val="center"/>
        <w:tblLook w:firstColumn="1" w:firstRow="1" w:lastColumn="0" w:lastRow="0" w:noHBand="0" w:noVBand="1" w:val="04A0"/>
      </w:tblPr>
      <w:tblGrid>
        <w:gridCol w:w="3216"/>
        <w:gridCol w:w="3216"/>
        <w:gridCol w:w="3216"/>
      </w:tblGrid>
      <w:tr>
        <w:tc>
          <w:tcPr>
            <w:tcW w:type="dxa" w:w="2160"/>
          </w:tcPr>
          <w:p>
            <w:r/>
            <w:r>
              <w:rPr>
                <w:b/>
                <w:sz w:val="17"/>
              </w:rPr>
              <w:t>Statistic</w:t>
            </w:r>
          </w:p>
        </w:tc>
        <w:tc>
          <w:tcPr>
            <w:tcW w:type="dxa" w:w="4032"/>
          </w:tcPr>
          <w:p>
            <w:r/>
            <w:r>
              <w:rPr>
                <w:b/>
                <w:sz w:val="17"/>
              </w:rPr>
              <w:t>Exceeding M′ means</w:t>
            </w:r>
          </w:p>
        </w:tc>
        <w:tc>
          <w:tcPr>
            <w:tcW w:type="dxa" w:w="3456"/>
          </w:tcPr>
          <w:p>
            <w:r/>
            <w:r>
              <w:rPr>
                <w:b/>
                <w:sz w:val="17"/>
              </w:rPr>
              <w:t>Weakness</w:t>
            </w:r>
          </w:p>
        </w:tc>
      </w:tr>
      <w:tr>
        <w:tc>
          <w:tcPr>
            <w:tcW w:type="dxa" w:w="2160"/>
          </w:tcPr>
          <w:p>
            <w:r/>
            <w:r>
              <w:rPr>
                <w:sz w:val="17"/>
              </w:rPr>
              <w:t>Cell mean AGBD</w:t>
            </w:r>
          </w:p>
        </w:tc>
        <w:tc>
          <w:tcPr>
            <w:tcW w:type="dxa" w:w="4032"/>
          </w:tcPr>
          <w:p>
            <w:r/>
            <w:r>
              <w:rPr>
                <w:sz w:val="17"/>
              </w:rPr>
              <w:t>The whole 1 km cell, gaps and all, already carries more than its supposed maximum</w:t>
            </w:r>
          </w:p>
        </w:tc>
        <w:tc>
          <w:tcPr>
            <w:tcW w:type="dxa" w:w="3456"/>
          </w:tcPr>
          <w:p>
            <w:r/>
            <w:r>
              <w:rPr>
                <w:sz w:val="17"/>
              </w:rPr>
              <w:t>Can be dragged down by clearing, so it understates exceedance</w:t>
            </w:r>
          </w:p>
        </w:tc>
      </w:tr>
      <w:tr>
        <w:tc>
          <w:tcPr>
            <w:tcW w:type="dxa" w:w="2160"/>
          </w:tcPr>
          <w:p>
            <w:r/>
            <w:r>
              <w:rPr>
                <w:sz w:val="17"/>
              </w:rPr>
              <w:t>p95, fixed n = 30</w:t>
            </w:r>
          </w:p>
        </w:tc>
        <w:tc>
          <w:tcPr>
            <w:tcW w:type="dxa" w:w="4032"/>
          </w:tcPr>
          <w:p>
            <w:r/>
            <w:r>
              <w:rPr>
                <w:sz w:val="17"/>
              </w:rPr>
              <w:t>The upper envelope of stands in the cell is above M′</w:t>
            </w:r>
          </w:p>
        </w:tc>
        <w:tc>
          <w:tcPr>
            <w:tcW w:type="dxa" w:w="3456"/>
          </w:tcPr>
          <w:p>
            <w:r/>
            <w:r>
              <w:rPr>
                <w:sz w:val="17"/>
              </w:rPr>
              <w:t>Single-footprint error inflates upper percentiles</w:t>
            </w:r>
          </w:p>
        </w:tc>
      </w:tr>
      <w:tr>
        <w:tc>
          <w:tcPr>
            <w:tcW w:type="dxa" w:w="2160"/>
          </w:tcPr>
          <w:p>
            <w:r/>
            <w:r>
              <w:rPr>
                <w:sz w:val="17"/>
              </w:rPr>
              <w:t>p95 of lower bounds</w:t>
            </w:r>
          </w:p>
        </w:tc>
        <w:tc>
          <w:tcPr>
            <w:tcW w:type="dxa" w:w="4032"/>
          </w:tcPr>
          <w:p>
            <w:r/>
            <w:r>
              <w:rPr>
                <w:sz w:val="17"/>
              </w:rPr>
              <w:t>The same, with every footprint pushed to agbd − 1.645 × agbd_se</w:t>
            </w:r>
          </w:p>
        </w:tc>
        <w:tc>
          <w:tcPr>
            <w:tcW w:type="dxa" w:w="3456"/>
          </w:tcPr>
          <w:p>
            <w:r/>
            <w:r>
              <w:rPr>
                <w:sz w:val="17"/>
              </w:rPr>
              <w:t>Conservative by construction</w:t>
            </w:r>
          </w:p>
        </w:tc>
      </w:tr>
    </w:tbl>
    <w:p>
      <w:pPr>
        <w:spacing w:after="40"/>
      </w:pPr>
    </w:p>
    <w:p>
      <w:pPr>
        <w:spacing w:after="140" w:line="271" w:lineRule="auto"/>
      </w:pPr>
      <w:r>
        <w:rPr>
          <w:i w:val="0"/>
          <w:color w:val="606060"/>
          <w:sz w:val="20"/>
        </w:rPr>
        <w:t>Units: M′ is t DM/ha of aboveground dry matter; GEDI L4A publishes AGBD in Mg/ha of aboveground dry biomass. 1 Mg (megagram) = 1 t, so the two are numerically identical, no conversion is applied, and every GEDI value in this report and its figures is written in t DM/ha. The same assumption was made in every earlier GEDI and ESA CCI comparison in this repository.</w:t>
      </w:r>
    </w:p>
    <w:p>
      <w:pPr>
        <w:pStyle w:val="Heading1"/>
      </w:pPr>
      <w:r>
        <w:rPr>
          <w:color w:val="0B3D62"/>
        </w:rPr>
        <w:t>2. The pipeline from Step 0 to future M′</w:t>
      </w:r>
    </w:p>
    <w:p>
      <w:pPr>
        <w:spacing w:after="140" w:line="271" w:lineRule="auto"/>
      </w:pPr>
      <w:r>
        <w:rPr>
          <w:i w:val="0"/>
          <w:color w:val="1A1A1A"/>
          <w:sz w:val="21"/>
        </w:rPr>
        <w:t>Paths are relative to 000_Zohreh_paper_1_refactor/. All rasters share the NLUM 2010-11 grid: 3364 × 4071 cells, 0.01°, GDA94 (EPSG:4283), 6,956,407 valid land cells.</w:t>
      </w:r>
    </w:p>
    <w:p>
      <w:pPr>
        <w:pStyle w:val="Heading2"/>
      </w:pPr>
      <w:r>
        <w:rPr>
          <w:color w:val="0B3D62"/>
        </w:rPr>
        <w:t>2.1 Step 0: downloads and NLUM matching</w:t>
      </w:r>
    </w:p>
    <w:p>
      <w:pPr>
        <w:spacing w:after="80"/>
        <w:ind w:left="288"/>
      </w:pPr>
      <w:r>
        <w:rPr>
          <w:b/>
          <w:color w:val="B4472A"/>
          <w:sz w:val="20"/>
        </w:rPr>
        <w:t>Status</w:t>
      </w:r>
    </w:p>
    <w:p>
      <w:pPr>
        <w:spacing w:after="200" w:line="271" w:lineRule="auto"/>
        <w:ind w:left="288"/>
      </w:pPr>
      <w:r>
        <w:rPr>
          <w:color w:val="1A1A1A"/>
          <w:sz w:val="21"/>
        </w:rPr>
        <w:t>Step_0_download_data/ is deleted from the working tree. Its eight scripts survive in git HEAD (commit e82499f) and their outputs are on disk. Restore it before the pipeline can be re-run end to end.</w:t>
      </w:r>
    </w:p>
    <w:tbl>
      <w:tblPr>
        <w:tblStyle w:val="LightGrid-Accent1"/>
        <w:tblW w:type="auto" w:w="0"/>
        <w:jc w:val="center"/>
        <w:tblLook w:firstColumn="1" w:firstRow="1" w:lastColumn="0" w:lastRow="0" w:noHBand="0" w:noVBand="1" w:val="04A0"/>
      </w:tblPr>
      <w:tblGrid>
        <w:gridCol w:w="4824"/>
        <w:gridCol w:w="4824"/>
      </w:tblGrid>
      <w:tr>
        <w:tc>
          <w:tcPr>
            <w:tcW w:type="dxa" w:w="3312"/>
          </w:tcPr>
          <w:p>
            <w:r/>
            <w:r>
              <w:rPr>
                <w:b/>
                <w:sz w:val="17"/>
              </w:rPr>
              <w:t>Script</w:t>
            </w:r>
          </w:p>
        </w:tc>
        <w:tc>
          <w:tcPr>
            <w:tcW w:type="dxa" w:w="6336"/>
          </w:tcPr>
          <w:p>
            <w:r/>
            <w:r>
              <w:rPr>
                <w:b/>
                <w:sz w:val="17"/>
              </w:rPr>
              <w:t>What it produced</w:t>
            </w:r>
          </w:p>
        </w:tc>
      </w:tr>
      <w:tr>
        <w:tc>
          <w:tcPr>
            <w:tcW w:type="dxa" w:w="3312"/>
          </w:tcPr>
          <w:p>
            <w:r/>
            <w:r>
              <w:rPr>
                <w:sz w:val="17"/>
              </w:rPr>
              <w:t>download_CSIRO_historical_data.py</w:t>
            </w:r>
          </w:p>
        </w:tc>
        <w:tc>
          <w:tcPr>
            <w:tcW w:type="dxa" w:w="6336"/>
          </w:tcPr>
          <w:p>
            <w:r/>
            <w:r>
              <w:rPr>
                <w:sz w:val="17"/>
              </w:rPr>
              <w:t>BARRA-R2 daily 1985-2014 from CSIRO DAP csiro:64206: 9 variables × 30 years, 270 files, 109 GB. Pre-signed S3 URLs, re-signed mid-download.</w:t>
            </w:r>
          </w:p>
        </w:tc>
      </w:tr>
      <w:tr>
        <w:tc>
          <w:tcPr>
            <w:tcW w:type="dxa" w:w="3312"/>
          </w:tcPr>
          <w:p>
            <w:r/>
            <w:r>
              <w:rPr>
                <w:sz w:val="17"/>
              </w:rPr>
              <w:t>reproject_CSIRO_historical_to_NLUM.py</w:t>
            </w:r>
          </w:p>
        </w:tc>
        <w:tc>
          <w:tcPr>
            <w:tcW w:type="dxa" w:w="6336"/>
          </w:tcPr>
          <w:p>
            <w:r/>
            <w:r>
              <w:rPr>
                <w:sz w:val="17"/>
              </w:rPr>
              <w:t>Daily → 12 monthly bands, then clip → aggregate → match to NLUM → nearest-fill → mask.</w:t>
            </w:r>
          </w:p>
        </w:tc>
      </w:tr>
      <w:tr>
        <w:tc>
          <w:tcPr>
            <w:tcW w:type="dxa" w:w="3312"/>
          </w:tcPr>
          <w:p>
            <w:r/>
            <w:r>
              <w:rPr>
                <w:sz w:val="17"/>
              </w:rPr>
              <w:t>(CSIRO_future_data.md)</w:t>
            </w:r>
          </w:p>
        </w:tc>
        <w:tc>
          <w:tcPr>
            <w:tcW w:type="dxa" w:w="6336"/>
          </w:tcPr>
          <w:p>
            <w:r/>
            <w:r>
              <w:rPr>
                <w:sz w:val="17"/>
              </w:rPr>
              <w:t>QDC-CMIP6, ACCESS-CM2 r4i1p1f1, 4 SSPs, 2035-2064 and 2070-2099 only: 2,160 files, 719.8 GB. Each future year is an observed BARRA-R2 year rescaled by a change factor. The download/reproject scripts it cites are not on disk or in git.</w:t>
            </w:r>
          </w:p>
        </w:tc>
      </w:tr>
      <w:tr>
        <w:tc>
          <w:tcPr>
            <w:tcW w:type="dxa" w:w="3312"/>
          </w:tcPr>
          <w:p>
            <w:r/>
            <w:r>
              <w:rPr>
                <w:sz w:val="17"/>
              </w:rPr>
              <w:t>download_fpi.py</w:t>
            </w:r>
          </w:p>
        </w:tc>
        <w:tc>
          <w:tcPr>
            <w:tcW w:type="dxa" w:w="6336"/>
          </w:tcPr>
          <w:p>
            <w:r/>
            <w:r>
              <w:rPr>
                <w:sz w:val="17"/>
              </w:rPr>
              <w:t>FPI v1.0 (DCCEEW, Sept 2024): 37 tiles × 53 years (1970-2022), URLs read from the CKAN API.</w:t>
            </w:r>
          </w:p>
        </w:tc>
      </w:tr>
      <w:tr>
        <w:tc>
          <w:tcPr>
            <w:tcW w:type="dxa" w:w="3312"/>
          </w:tcPr>
          <w:p>
            <w:r/>
            <w:r>
              <w:rPr>
                <w:sz w:val="17"/>
              </w:rPr>
              <w:t>mosaic_match_fpi_NLUM.py</w:t>
            </w:r>
          </w:p>
        </w:tc>
        <w:tc>
          <w:tcPr>
            <w:tcW w:type="dxa" w:w="6336"/>
          </w:tcPr>
          <w:p>
            <w:r/>
            <w:r>
              <w:rPr>
                <w:sz w:val="17"/>
              </w:rPr>
              <w:t>Mosaic per year, snap half a cell onto NLUM → Data/Processed/fpi/fpi_&lt;year&gt;.tif.</w:t>
            </w:r>
          </w:p>
        </w:tc>
      </w:tr>
      <w:tr>
        <w:tc>
          <w:tcPr>
            <w:tcW w:type="dxa" w:w="3312"/>
          </w:tcPr>
          <w:p>
            <w:r/>
            <w:r>
              <w:rPr>
                <w:sz w:val="17"/>
              </w:rPr>
              <w:t>get_revised_MaxAbgM_and_lambda.py</w:t>
            </w:r>
          </w:p>
        </w:tc>
        <w:tc>
          <w:tcPr>
            <w:tcW w:type="dxa" w:w="6336"/>
          </w:tcPr>
          <w:p>
            <w:r/>
            <w:r>
              <w:rPr>
                <w:sz w:val="17"/>
              </w:rPr>
              <w:t>New_M_2019 → Data/Processed/maxAbgM_v2/New_M_2019.tif (average resampling), plus the legacy transfer factor, now renamed transfer_Eq1M_to_NewM_1970_2002.tif.</w:t>
            </w:r>
          </w:p>
        </w:tc>
      </w:tr>
      <w:tr>
        <w:tc>
          <w:tcPr>
            <w:tcW w:type="dxa" w:w="3312"/>
          </w:tcPr>
          <w:p>
            <w:r/>
            <w:r>
              <w:rPr>
                <w:sz w:val="17"/>
              </w:rPr>
              <w:t>download_worldclim_*.py, reproject_match_NLUM.py</w:t>
            </w:r>
          </w:p>
        </w:tc>
        <w:tc>
          <w:tcPr>
            <w:tcW w:type="dxa" w:w="6336"/>
          </w:tcPr>
          <w:p>
            <w:r/>
            <w:r>
              <w:rPr>
                <w:sz w:val="17"/>
              </w:rPr>
              <w:t>The earlier WorldClim route, superseded by the CSIRO route.</w:t>
            </w:r>
          </w:p>
        </w:tc>
      </w:tr>
    </w:tbl>
    <w:p>
      <w:pPr>
        <w:spacing w:after="40"/>
      </w:pPr>
    </w:p>
    <w:p>
      <w:pPr>
        <w:spacing w:after="140" w:line="271" w:lineRule="auto"/>
      </w:pPr>
      <w:r>
        <w:rPr>
          <w:i w:val="0"/>
          <w:color w:val="1A1A1A"/>
          <w:sz w:val="21"/>
        </w:rPr>
        <w:t>Also on disk: Data/Raw/maxAbgM_v1_Ratio/Original_M_2004.tif and Ratio_OriginalM_to_NewM.tif (DCCEEW v1.0), and Data/Raw/maxAbgM_v2/New_M_2019.tif (v2.0).</w:t>
      </w:r>
    </w:p>
    <w:p>
      <w:pPr>
        <w:pStyle w:val="Heading2"/>
      </w:pPr>
      <w:r>
        <w:rPr>
          <w:color w:val="0B3D62"/>
        </w:rPr>
        <w:t>2.2 Soil predictors (Download_soil_data/)</w:t>
      </w:r>
    </w:p>
    <w:p>
      <w:pPr>
        <w:spacing w:after="140" w:line="271" w:lineRule="auto"/>
      </w:pPr>
      <w:r>
        <w:rPr>
          <w:i w:val="0"/>
          <w:color w:val="1A1A1A"/>
          <w:sz w:val="21"/>
        </w:rPr>
        <w:t>Step_01_download_SLGA.py to Step_05_soil_for_FPI_report.py: 11 SLGA attributes × 6 depths from CSIRO DAP, average-resampled to NLUM. 31,451 gap cells (0.45%, mostly salt lakes) are filled and flagged. In the soil test (soil_rf_results.json), spatial-CV R² rises from 0.940 with climate only to 0.953 with climate, N, P and aggregated soil.</w:t>
      </w:r>
    </w:p>
    <w:p>
      <w:pPr>
        <w:pStyle w:val="Heading2"/>
      </w:pPr>
      <w:r>
        <w:rPr>
          <w:color w:val="0B3D62"/>
        </w:rPr>
        <w:t>2.3 Climate: climatologies, deltas and open pan</w:t>
      </w:r>
    </w:p>
    <w:tbl>
      <w:tblPr>
        <w:tblStyle w:val="LightGrid-Accent1"/>
        <w:tblW w:type="auto" w:w="0"/>
        <w:jc w:val="center"/>
        <w:tblLook w:firstColumn="1" w:firstRow="1" w:lastColumn="0" w:lastRow="0" w:noHBand="0" w:noVBand="1" w:val="04A0"/>
      </w:tblPr>
      <w:tblGrid>
        <w:gridCol w:w="4824"/>
        <w:gridCol w:w="4824"/>
      </w:tblGrid>
      <w:tr>
        <w:tc>
          <w:tcPr>
            <w:tcW w:type="dxa" w:w="3312"/>
          </w:tcPr>
          <w:p>
            <w:r/>
            <w:r>
              <w:rPr>
                <w:b/>
                <w:sz w:val="17"/>
              </w:rPr>
              <w:t>Folder</w:t>
            </w:r>
          </w:p>
        </w:tc>
        <w:tc>
          <w:tcPr>
            <w:tcW w:type="dxa" w:w="6336"/>
          </w:tcPr>
          <w:p>
            <w:r/>
            <w:r>
              <w:rPr>
                <w:b/>
                <w:sz w:val="17"/>
              </w:rPr>
              <w:t>Role</w:t>
            </w:r>
          </w:p>
        </w:tc>
      </w:tr>
      <w:tr>
        <w:tc>
          <w:tcPr>
            <w:tcW w:type="dxa" w:w="3312"/>
          </w:tcPr>
          <w:p>
            <w:r/>
            <w:r>
              <w:rPr>
                <w:sz w:val="17"/>
              </w:rPr>
              <w:t>Calculation_CSIRO_avg/</w:t>
            </w:r>
          </w:p>
        </w:tc>
        <w:tc>
          <w:tcPr>
            <w:tcW w:type="dxa" w:w="6336"/>
          </w:tcPr>
          <w:p>
            <w:r/>
            <w:r>
              <w:rPr>
                <w:sz w:val="17"/>
              </w:rPr>
              <w:t>72 twelve-band monthly climatologies (8 variables; historical + 4 SSPs × 2 windows) → Data/Processed/CSIRO_avg/. CSIRO_avg_report.md.</w:t>
            </w:r>
          </w:p>
        </w:tc>
      </w:tr>
      <w:tr>
        <w:tc>
          <w:tcPr>
            <w:tcW w:type="dxa" w:w="3312"/>
          </w:tcPr>
          <w:p>
            <w:r/>
            <w:r>
              <w:rPr>
                <w:sz w:val="17"/>
              </w:rPr>
              <w:t>Calcluation_ANUCLIM_avg_1985-2014/</w:t>
            </w:r>
          </w:p>
        </w:tc>
        <w:tc>
          <w:tcPr>
            <w:tcW w:type="dxa" w:w="6336"/>
          </w:tcPr>
          <w:p>
            <w:r/>
            <w:r>
              <w:rPr>
                <w:sz w:val="17"/>
              </w:rPr>
              <w:t>ANUClimate 1985-2014 averages for 6 variables on NLUM, the observational base FullCAM uses.</w:t>
            </w:r>
          </w:p>
        </w:tc>
      </w:tr>
      <w:tr>
        <w:tc>
          <w:tcPr>
            <w:tcW w:type="dxa" w:w="3312"/>
          </w:tcPr>
          <w:p>
            <w:r/>
            <w:r>
              <w:rPr>
                <w:sz w:val="17"/>
              </w:rPr>
              <w:t>Step_02_Calculate_CSIRO_delta/</w:t>
            </w:r>
          </w:p>
        </w:tc>
        <w:tc>
          <w:tcPr>
            <w:tcW w:type="dxa" w:w="6336"/>
          </w:tcPr>
          <w:p>
            <w:r/>
            <w:r>
              <w:rPr>
                <w:sz w:val="17"/>
              </w:rPr>
              <w:t>Future − historical deltas, 64 layers. tasmax +1.78 °C (SSP126 mid) to +5.80 °C (SSP585 late); pr −0.8% to −13.9%. Reporting only, not an RF or M input.</w:t>
            </w:r>
          </w:p>
        </w:tc>
      </w:tr>
      <w:tr>
        <w:tc>
          <w:tcPr>
            <w:tcW w:type="dxa" w:w="3312"/>
          </w:tcPr>
          <w:p>
            <w:r/>
            <w:r>
              <w:rPr>
                <w:sz w:val="17"/>
              </w:rPr>
              <w:t>Calculation_Open_pan_CSIRO_data/</w:t>
            </w:r>
          </w:p>
        </w:tc>
        <w:tc>
          <w:tcPr>
            <w:tcW w:type="dxa" w:w="6336"/>
          </w:tcPr>
          <w:p>
            <w:r/>
            <w:r>
              <w:rPr>
                <w:sz w:val="17"/>
              </w:rPr>
              <w:t>SILO pan → Kp → ETo → open pan; −0.9% against ANUClimate 1995-2014. FullCAM input only.</w:t>
            </w:r>
          </w:p>
        </w:tc>
      </w:tr>
    </w:tbl>
    <w:p>
      <w:pPr>
        <w:spacing w:after="40"/>
      </w:pPr>
    </w:p>
    <w:p>
      <w:pPr>
        <w:pStyle w:val="Heading2"/>
      </w:pPr>
      <w:r>
        <w:rPr>
          <w:color w:val="0B3D62"/>
        </w:rPr>
        <w:t>2.4 Random forest for FPI (Random_forest_CSIRO/)</w:t>
      </w:r>
    </w:p>
    <w:p>
      <w:pPr>
        <w:spacing w:after="140" w:line="271" w:lineRule="auto"/>
      </w:pPr>
      <w:r>
        <w:rPr>
          <w:i w:val="0"/>
          <w:color w:val="1A1A1A"/>
          <w:sz w:val="21"/>
        </w:rPr>
        <w:t>Run order (README.md): Step_00_audit, 01_aggregate_climate, 02_build_training_table, 02b, 03_build_model, 04_predict_future, 04b, 05_plots, 07_scenario_diagnostic, 06_write_report, 08_scatter.</w:t>
      </w:r>
    </w:p>
    <w:p>
      <w:pPr>
        <w:spacing w:after="140" w:line="271" w:lineRule="auto"/>
      </w:pPr>
      <w:r>
        <w:rPr>
          <w:i w:val="0"/>
          <w:color w:val="1A1A1A"/>
          <w:sz w:val="21"/>
        </w:rPr>
        <w:t>One row per cell-year over 1985-2014: 2,086,920 rows and 174 predictors. The predictors are 83 static soil bands plus 7 BARRA-R2 climate variables (hurs, hursmax, hursmin, pr, rsds, tasmax, tasmin), each as 12 monthly values and 1 annual. The target is observed FPI for the same year. Model (data/model_card.txt): RandomForestRegressor, 64 trees, max_features 1/3, min_samples_leaf 5.</w:t>
      </w:r>
    </w:p>
    <w:tbl>
      <w:tblPr>
        <w:tblStyle w:val="LightGrid-Accent1"/>
        <w:tblW w:type="auto" w:w="0"/>
        <w:jc w:val="center"/>
        <w:tblLook w:firstColumn="1" w:firstRow="1" w:lastColumn="0" w:lastRow="0" w:noHBand="0" w:noVBand="1" w:val="04A0"/>
      </w:tblPr>
      <w:tblGrid>
        <w:gridCol w:w="1930"/>
        <w:gridCol w:w="1930"/>
        <w:gridCol w:w="1930"/>
        <w:gridCol w:w="1930"/>
        <w:gridCol w:w="1930"/>
      </w:tblGrid>
      <w:tr>
        <w:tc>
          <w:tcPr>
            <w:tcW w:type="dxa" w:w="3744"/>
          </w:tcPr>
          <w:p>
            <w:r/>
            <w:r>
              <w:rPr>
                <w:b/>
                <w:sz w:val="17"/>
              </w:rPr>
              <w:t>CV scheme (data/cv_metrics.csv)</w:t>
            </w:r>
          </w:p>
        </w:tc>
        <w:tc>
          <w:tcPr>
            <w:tcW w:type="dxa" w:w="1440"/>
          </w:tcPr>
          <w:p>
            <w:r/>
            <w:r>
              <w:rPr>
                <w:b/>
                <w:sz w:val="17"/>
              </w:rPr>
              <w:t>R²</w:t>
            </w:r>
          </w:p>
        </w:tc>
        <w:tc>
          <w:tcPr>
            <w:tcW w:type="dxa" w:w="1440"/>
          </w:tcPr>
          <w:p>
            <w:r/>
            <w:r>
              <w:rPr>
                <w:b/>
                <w:sz w:val="17"/>
              </w:rPr>
              <w:t>RMSE</w:t>
            </w:r>
          </w:p>
        </w:tc>
        <w:tc>
          <w:tcPr>
            <w:tcW w:type="dxa" w:w="1440"/>
          </w:tcPr>
          <w:p>
            <w:r/>
            <w:r>
              <w:rPr>
                <w:b/>
                <w:sz w:val="17"/>
              </w:rPr>
              <w:t>MAE</w:t>
            </w:r>
          </w:p>
        </w:tc>
        <w:tc>
          <w:tcPr>
            <w:tcW w:type="dxa" w:w="1440"/>
          </w:tcPr>
          <w:p>
            <w:r/>
            <w:r>
              <w:rPr>
                <w:b/>
                <w:sz w:val="17"/>
              </w:rPr>
              <w:t>MAPE</w:t>
            </w:r>
          </w:p>
        </w:tc>
      </w:tr>
      <w:tr>
        <w:tc>
          <w:tcPr>
            <w:tcW w:type="dxa" w:w="3744"/>
          </w:tcPr>
          <w:p>
            <w:r/>
            <w:r>
              <w:rPr>
                <w:sz w:val="17"/>
              </w:rPr>
              <w:t>Random k-fold</w:t>
            </w:r>
          </w:p>
        </w:tc>
        <w:tc>
          <w:tcPr>
            <w:tcW w:type="dxa" w:w="1440"/>
          </w:tcPr>
          <w:p>
            <w:r/>
            <w:r>
              <w:rPr>
                <w:sz w:val="17"/>
              </w:rPr>
              <w:t>0.9775</w:t>
            </w:r>
          </w:p>
        </w:tc>
        <w:tc>
          <w:tcPr>
            <w:tcW w:type="dxa" w:w="1440"/>
          </w:tcPr>
          <w:p>
            <w:r/>
            <w:r>
              <w:rPr>
                <w:sz w:val="17"/>
              </w:rPr>
              <w:t>0.429</w:t>
            </w:r>
          </w:p>
        </w:tc>
        <w:tc>
          <w:tcPr>
            <w:tcW w:type="dxa" w:w="1440"/>
          </w:tcPr>
          <w:p>
            <w:r/>
            <w:r>
              <w:rPr>
                <w:sz w:val="17"/>
              </w:rPr>
              <w:t>0.249</w:t>
            </w:r>
          </w:p>
        </w:tc>
        <w:tc>
          <w:tcPr>
            <w:tcW w:type="dxa" w:w="1440"/>
          </w:tcPr>
          <w:p>
            <w:r/>
            <w:r>
              <w:rPr>
                <w:sz w:val="17"/>
              </w:rPr>
              <w:t>5.7%</w:t>
            </w:r>
          </w:p>
        </w:tc>
      </w:tr>
      <w:tr>
        <w:tc>
          <w:tcPr>
            <w:tcW w:type="dxa" w:w="3744"/>
          </w:tcPr>
          <w:p>
            <w:r/>
            <w:r>
              <w:rPr>
                <w:sz w:val="17"/>
              </w:rPr>
              <w:t>Spatial blocks</w:t>
            </w:r>
          </w:p>
        </w:tc>
        <w:tc>
          <w:tcPr>
            <w:tcW w:type="dxa" w:w="1440"/>
          </w:tcPr>
          <w:p>
            <w:r/>
            <w:r>
              <w:rPr>
                <w:sz w:val="17"/>
              </w:rPr>
              <w:t>0.9321</w:t>
            </w:r>
          </w:p>
        </w:tc>
        <w:tc>
          <w:tcPr>
            <w:tcW w:type="dxa" w:w="1440"/>
          </w:tcPr>
          <w:p>
            <w:r/>
            <w:r>
              <w:rPr>
                <w:sz w:val="17"/>
              </w:rPr>
              <w:t>0.745</w:t>
            </w:r>
          </w:p>
        </w:tc>
        <w:tc>
          <w:tcPr>
            <w:tcW w:type="dxa" w:w="1440"/>
          </w:tcPr>
          <w:p>
            <w:r/>
            <w:r>
              <w:rPr>
                <w:sz w:val="17"/>
              </w:rPr>
              <w:t>0.446</w:t>
            </w:r>
          </w:p>
        </w:tc>
        <w:tc>
          <w:tcPr>
            <w:tcW w:type="dxa" w:w="1440"/>
          </w:tcPr>
          <w:p>
            <w:r/>
            <w:r>
              <w:rPr>
                <w:sz w:val="17"/>
              </w:rPr>
              <w:t>11.0%</w:t>
            </w:r>
          </w:p>
        </w:tc>
      </w:tr>
      <w:tr>
        <w:tc>
          <w:tcPr>
            <w:tcW w:type="dxa" w:w="3744"/>
          </w:tcPr>
          <w:p>
            <w:r/>
            <w:r>
              <w:rPr>
                <w:sz w:val="17"/>
              </w:rPr>
              <w:t>Year groups (quote this one)</w:t>
            </w:r>
          </w:p>
        </w:tc>
        <w:tc>
          <w:tcPr>
            <w:tcW w:type="dxa" w:w="1440"/>
          </w:tcPr>
          <w:p>
            <w:r/>
            <w:r>
              <w:rPr>
                <w:sz w:val="17"/>
              </w:rPr>
              <w:t>0.9305</w:t>
            </w:r>
          </w:p>
        </w:tc>
        <w:tc>
          <w:tcPr>
            <w:tcW w:type="dxa" w:w="1440"/>
          </w:tcPr>
          <w:p>
            <w:r/>
            <w:r>
              <w:rPr>
                <w:sz w:val="17"/>
              </w:rPr>
              <w:t>0.754</w:t>
            </w:r>
          </w:p>
        </w:tc>
        <w:tc>
          <w:tcPr>
            <w:tcW w:type="dxa" w:w="1440"/>
          </w:tcPr>
          <w:p>
            <w:r/>
            <w:r>
              <w:rPr>
                <w:sz w:val="17"/>
              </w:rPr>
              <w:t>0.548</w:t>
            </w:r>
          </w:p>
        </w:tc>
        <w:tc>
          <w:tcPr>
            <w:tcW w:type="dxa" w:w="1440"/>
          </w:tcPr>
          <w:p>
            <w:r/>
            <w:r>
              <w:rPr>
                <w:sz w:val="17"/>
              </w:rPr>
              <w:t>17.5%</w:t>
            </w:r>
          </w:p>
        </w:tc>
      </w:tr>
    </w:tbl>
    <w:p>
      <w:pPr>
        <w:spacing w:after="40"/>
      </w:pPr>
    </w:p>
    <w:p>
      <w:pPr>
        <w:spacing w:after="140" w:line="271" w:lineRule="auto"/>
      </w:pPr>
      <w:r>
        <w:rPr>
          <w:i w:val="0"/>
          <w:color w:val="1A1A1A"/>
          <w:sz w:val="21"/>
        </w:rPr>
        <w:t>The year-group score is the honest one for projection: whole years are held out, so the model is scored on climate it did not train on. Top predictors are SOC 0-5 cm, annual relative humidity and annual rainfall. Future FPI is predicted for every year in both windows (output/fpi_&lt;ssp&gt;_&lt;year&gt;.tif, 240 files) and averaged per window. Two caveats from the RF report: scenarios are not ordered by forcing, because FPI tracks humidity and rainfall (r = +0.97) more than temperature, and a random forest cannot extrapolate beyond the training climate.</w:t>
      </w:r>
    </w:p>
    <w:p>
      <w:pPr>
        <w:pStyle w:val="Heading2"/>
      </w:pPr>
      <w:r>
        <w:rPr>
          <w:color w:val="0B3D62"/>
        </w:rPr>
        <w:t>2.5 Future M from future FPI (Calculation_future_M_CSIRO/)</w:t>
      </w:r>
    </w:p>
    <w:tbl>
      <w:tblPr>
        <w:tblStyle w:val="LightGrid-Accent1"/>
        <w:tblW w:type="auto" w:w="0"/>
        <w:jc w:val="center"/>
        <w:tblLook w:firstColumn="1" w:firstRow="1" w:lastColumn="0" w:lastRow="0" w:noHBand="0" w:noVBand="1" w:val="04A0"/>
      </w:tblPr>
      <w:tblGrid>
        <w:gridCol w:w="4824"/>
        <w:gridCol w:w="4824"/>
      </w:tblGrid>
      <w:tr>
        <w:tc>
          <w:tcPr>
            <w:tcW w:type="dxa" w:w="3456"/>
          </w:tcPr>
          <w:p>
            <w:r/>
            <w:r>
              <w:rPr>
                <w:b/>
                <w:sz w:val="17"/>
              </w:rPr>
              <w:t>Script</w:t>
            </w:r>
          </w:p>
        </w:tc>
        <w:tc>
          <w:tcPr>
            <w:tcW w:type="dxa" w:w="6192"/>
          </w:tcPr>
          <w:p>
            <w:r/>
            <w:r>
              <w:rPr>
                <w:b/>
                <w:sz w:val="17"/>
              </w:rPr>
              <w:t>What it does</w:t>
            </w:r>
          </w:p>
        </w:tc>
      </w:tr>
      <w:tr>
        <w:tc>
          <w:tcPr>
            <w:tcW w:type="dxa" w:w="3456"/>
          </w:tcPr>
          <w:p>
            <w:r/>
            <w:r>
              <w:rPr>
                <w:sz w:val="17"/>
              </w:rPr>
              <w:t>Step_06_Calculating_Future_MAGB.py</w:t>
            </w:r>
          </w:p>
        </w:tc>
        <w:tc>
          <w:tcPr>
            <w:tcW w:type="dxa" w:w="6192"/>
          </w:tcPr>
          <w:p>
            <w:r/>
            <w:r>
              <w:rPr>
                <w:sz w:val="17"/>
              </w:rPr>
              <w:t>Eq. (1) on each annual FPI. FPI below the root 0.7748 gives M = 0. Writes annual M, window means, and Eq. (1) of the window-mean FPI (Jensen gap about +0.9 to +1.2 t/ha, ~2%).</w:t>
            </w:r>
          </w:p>
        </w:tc>
      </w:tr>
      <w:tr>
        <w:tc>
          <w:tcPr>
            <w:tcW w:type="dxa" w:w="3456"/>
          </w:tcPr>
          <w:p>
            <w:r/>
            <w:r>
              <w:rPr>
                <w:sz w:val="17"/>
              </w:rPr>
              <w:t>Step_07_export_netcdf.py</w:t>
            </w:r>
          </w:p>
        </w:tc>
        <w:tc>
          <w:tcPr>
            <w:tcW w:type="dxa" w:w="6192"/>
          </w:tcPr>
          <w:p>
            <w:r/>
            <w:r>
              <w:rPr>
                <w:sz w:val="17"/>
              </w:rPr>
              <w:t>NetCDF cubes.</w:t>
            </w:r>
          </w:p>
        </w:tc>
      </w:tr>
      <w:tr>
        <w:tc>
          <w:tcPr>
            <w:tcW w:type="dxa" w:w="3456"/>
          </w:tcPr>
          <w:p>
            <w:r/>
            <w:r>
              <w:rPr>
                <w:sz w:val="17"/>
              </w:rPr>
              <w:t>Step_08_apply_published_lambda.py</w:t>
            </w:r>
          </w:p>
        </w:tc>
        <w:tc>
          <w:tcPr>
            <w:tcW w:type="dxa" w:w="6192"/>
          </w:tcPr>
          <w:p>
            <w:r/>
            <w:r>
              <w:rPr>
                <w:sz w:val="17"/>
              </w:rPr>
              <w:t>Eq. (3) with the published λ = New_M_2019 / Original_M_2004 (median 1, exactly 1 on 42.6% of cells, max 14.16). --footing eq1 (default) gives Option A; --footing original2004 gives Option B.</w:t>
            </w:r>
          </w:p>
        </w:tc>
      </w:tr>
      <w:tr>
        <w:tc>
          <w:tcPr>
            <w:tcW w:type="dxa" w:w="3456"/>
          </w:tcPr>
          <w:p>
            <w:r/>
            <w:r>
              <w:rPr>
                <w:sz w:val="17"/>
              </w:rPr>
              <w:t>Step_09/10</w:t>
            </w:r>
          </w:p>
        </w:tc>
        <w:tc>
          <w:tcPr>
            <w:tcW w:type="dxa" w:w="6192"/>
          </w:tcPr>
          <w:p>
            <w:r/>
            <w:r>
              <w:rPr>
                <w:sz w:val="17"/>
              </w:rPr>
              <w:t>Maps; scatter against New_M_2019.</w:t>
            </w:r>
          </w:p>
        </w:tc>
      </w:tr>
    </w:tbl>
    <w:p>
      <w:pPr>
        <w:spacing w:after="40"/>
      </w:pPr>
    </w:p>
    <w:p>
      <w:pPr>
        <w:pStyle w:val="Heading2"/>
      </w:pPr>
      <w:r>
        <w:rPr>
          <w:color w:val="0B3D62"/>
        </w:rPr>
        <w:t>2.6 The two footings, and why both are tested here</w:t>
      </w:r>
    </w:p>
    <w:p>
      <w:pPr>
        <w:spacing w:after="140" w:line="271" w:lineRule="auto"/>
      </w:pPr>
      <w:r>
        <w:rPr>
          <w:i w:val="0"/>
          <w:color w:val="1A1A1A"/>
          <w:sz w:val="21"/>
        </w:rPr>
        <w:t>λ is only valid against the M it was divided by. Published λ = New_M_2019 / Original_M_2004, but Eq. (1) of historical FPI overstates Original_M_2004 by a median factor of 1.46. So:</w:t>
      </w:r>
    </w:p>
    <w:tbl>
      <w:tblPr>
        <w:tblStyle w:val="LightGrid-Accent1"/>
        <w:tblW w:type="auto" w:w="0"/>
        <w:jc w:val="center"/>
        <w:tblLook w:firstColumn="1" w:firstRow="1" w:lastColumn="0" w:lastRow="0" w:noHBand="0" w:noVBand="1" w:val="04A0"/>
      </w:tblPr>
      <w:tblGrid>
        <w:gridCol w:w="3216"/>
        <w:gridCol w:w="3216"/>
        <w:gridCol w:w="3216"/>
      </w:tblGrid>
      <w:tr>
        <w:tc>
          <w:tcPr>
            <w:tcW w:type="dxa" w:w="2304"/>
          </w:tcPr>
          <w:p>
            <w:r/>
            <w:r>
              <w:rPr>
                <w:b/>
                <w:sz w:val="17"/>
              </w:rPr>
            </w:r>
          </w:p>
        </w:tc>
        <w:tc>
          <w:tcPr>
            <w:tcW w:type="dxa" w:w="3600"/>
          </w:tcPr>
          <w:p>
            <w:r/>
            <w:r>
              <w:rPr>
                <w:b/>
                <w:sz w:val="17"/>
              </w:rPr>
              <w:t>Option A: Eq. (1) footing</w:t>
            </w:r>
          </w:p>
        </w:tc>
        <w:tc>
          <w:tcPr>
            <w:tcW w:type="dxa" w:w="3744"/>
          </w:tcPr>
          <w:p>
            <w:r/>
            <w:r>
              <w:rPr>
                <w:b/>
                <w:sz w:val="17"/>
              </w:rPr>
              <w:t>Option B: matched footing</w:t>
            </w:r>
          </w:p>
        </w:tc>
      </w:tr>
      <w:tr>
        <w:tc>
          <w:tcPr>
            <w:tcW w:type="dxa" w:w="2304"/>
          </w:tcPr>
          <w:p>
            <w:r/>
            <w:r>
              <w:rPr>
                <w:sz w:val="17"/>
              </w:rPr>
              <w:t>Future M′</w:t>
            </w:r>
          </w:p>
        </w:tc>
        <w:tc>
          <w:tcPr>
            <w:tcW w:type="dxa" w:w="3600"/>
          </w:tcPr>
          <w:p>
            <w:r/>
            <w:r>
              <w:rPr>
                <w:sz w:val="17"/>
              </w:rPr>
              <w:t>λ × Eq1(FPI_fut)</w:t>
            </w:r>
          </w:p>
        </w:tc>
        <w:tc>
          <w:tcPr>
            <w:tcW w:type="dxa" w:w="3744"/>
          </w:tcPr>
          <w:p>
            <w:r/>
            <w:r>
              <w:rPr>
                <w:sz w:val="17"/>
              </w:rPr>
              <w:t>λ × Original_M_2004 × Eq1(FPI_fut) / Eq1(FPI_hist)</w:t>
            </w:r>
          </w:p>
        </w:tc>
      </w:tr>
      <w:tr>
        <w:tc>
          <w:tcPr>
            <w:tcW w:type="dxa" w:w="2304"/>
          </w:tcPr>
          <w:p>
            <w:r/>
            <w:r>
              <w:rPr>
                <w:sz w:val="17"/>
              </w:rPr>
              <w:t>Present-day layer it sits on</w:t>
            </w:r>
          </w:p>
        </w:tc>
        <w:tc>
          <w:tcPr>
            <w:tcW w:type="dxa" w:w="3600"/>
          </w:tcPr>
          <w:p>
            <w:r/>
            <w:r>
              <w:rPr>
                <w:sz w:val="17"/>
              </w:rPr>
              <w:t>baseline_M_1985-2014.tif (Writing_paper_01/output/)</w:t>
            </w:r>
          </w:p>
        </w:tc>
        <w:tc>
          <w:tcPr>
            <w:tcW w:type="dxa" w:w="3744"/>
          </w:tcPr>
          <w:p>
            <w:r/>
            <w:r>
              <w:rPr>
                <w:sz w:val="17"/>
              </w:rPr>
              <w:t>New_M_2019.tif, identical to historical M′ on this footing</w:t>
            </w:r>
          </w:p>
        </w:tc>
      </w:tr>
      <w:tr>
        <w:tc>
          <w:tcPr>
            <w:tcW w:type="dxa" w:w="2304"/>
          </w:tcPr>
          <w:p>
            <w:r/>
            <w:r>
              <w:rPr>
                <w:sz w:val="17"/>
              </w:rPr>
              <w:t>Level</w:t>
            </w:r>
          </w:p>
        </w:tc>
        <w:tc>
          <w:tcPr>
            <w:tcW w:type="dxa" w:w="3600"/>
          </w:tcPr>
          <w:p>
            <w:r/>
            <w:r>
              <w:rPr>
                <w:sz w:val="17"/>
              </w:rPr>
              <w:t>×1.46 above B nationally</w:t>
            </w:r>
          </w:p>
        </w:tc>
        <w:tc>
          <w:tcPr>
            <w:tcW w:type="dxa" w:w="3744"/>
          </w:tcPr>
          <w:p>
            <w:r/>
            <w:r>
              <w:rPr>
                <w:sz w:val="17"/>
              </w:rPr>
              <w:t>consistent with FullCAM's historical maxAbgMF</w:t>
            </w:r>
          </w:p>
        </w:tc>
      </w:tr>
      <w:tr>
        <w:tc>
          <w:tcPr>
            <w:tcW w:type="dxa" w:w="2304"/>
          </w:tcPr>
          <w:p>
            <w:r/>
            <w:r>
              <w:rPr>
                <w:sz w:val="17"/>
              </w:rPr>
              <w:t>% change</w:t>
            </w:r>
          </w:p>
        </w:tc>
        <w:tc>
          <w:tcPr>
            <w:tcW w:type="dxa" w:w="3600"/>
          </w:tcPr>
          <w:p>
            <w:r/>
            <w:r>
              <w:rPr>
                <w:sz w:val="17"/>
              </w:rPr>
              <w:t>identical to B</w:t>
            </w:r>
          </w:p>
        </w:tc>
        <w:tc>
          <w:tcPr>
            <w:tcW w:type="dxa" w:w="3744"/>
          </w:tcPr>
          <w:p>
            <w:r/>
            <w:r>
              <w:rPr>
                <w:sz w:val="17"/>
              </w:rPr>
              <w:t>identical to A</w:t>
            </w:r>
          </w:p>
        </w:tc>
      </w:tr>
      <w:tr>
        <w:tc>
          <w:tcPr>
            <w:tcW w:type="dxa" w:w="2304"/>
          </w:tcPr>
          <w:p>
            <w:r/>
            <w:r>
              <w:rPr>
                <w:sz w:val="17"/>
              </w:rPr>
              <w:t>Used by</w:t>
            </w:r>
          </w:p>
        </w:tc>
        <w:tc>
          <w:tcPr>
            <w:tcW w:type="dxa" w:w="3600"/>
          </w:tcPr>
          <w:p>
            <w:r/>
            <w:r>
              <w:rPr>
                <w:sz w:val="17"/>
              </w:rPr>
              <w:t>Writing_paper_01 results; FullCAM_input_CSIRO_data/M/</w:t>
            </w:r>
          </w:p>
        </w:tc>
        <w:tc>
          <w:tcPr>
            <w:tcW w:type="dxa" w:w="3744"/>
          </w:tcPr>
          <w:p>
            <w:r/>
            <w:r>
              <w:rPr>
                <w:sz w:val="17"/>
              </w:rPr>
              <w:t>Option_B_matched_footing/fullcam_inputs/ (recommended in Footing_decision_M_prime.docx, not yet adopted)</w:t>
            </w:r>
          </w:p>
        </w:tc>
      </w:tr>
    </w:tbl>
    <w:p>
      <w:pPr>
        <w:spacing w:after="40"/>
      </w:pPr>
    </w:p>
    <w:p>
      <w:pPr>
        <w:spacing w:after="140" w:line="271" w:lineRule="auto"/>
      </w:pPr>
      <w:r>
        <w:rPr>
          <w:i w:val="0"/>
          <w:color w:val="1A1A1A"/>
          <w:sz w:val="21"/>
        </w:rPr>
        <w:t>Option B future M′ medians (fullcam_inputs_summary.csv): 16.2 to 21.1 t/ha across scenarios and windows. With Option A inputs, FullCAM would see a jump of +26% to +71% at the boundary between historical and future inputs, purely from the footing.</w:t>
      </w:r>
    </w:p>
    <w:p>
      <w:pPr>
        <w:spacing w:after="80"/>
        <w:ind w:left="288"/>
      </w:pPr>
      <w:r>
        <w:rPr>
          <w:b/>
          <w:color w:val="9A6B11"/>
          <w:sz w:val="20"/>
        </w:rPr>
        <w:t>Unresolved: which historical baseline</w:t>
      </w:r>
    </w:p>
    <w:p>
      <w:pPr>
        <w:spacing w:after="200" w:line="271" w:lineRule="auto"/>
        <w:ind w:left="288"/>
      </w:pPr>
      <w:r>
        <w:rPr>
          <w:color w:val="1A1A1A"/>
          <w:sz w:val="21"/>
        </w:rPr>
        <w:t>Projected change depends on how the 1985-2014 baseline is built. Against Eq. (1) applied year by year and then averaged, change ranges from -23.2% to -3.1%. Against Eq. (1) of the mean FPI, it ranges from -18.6% to 1.1%, and two windows change sign (Option_B_matched_footing/outputs/baseline_orders.csv, Two_historical_baselines.docx). No decision is recorded.</w:t>
      </w:r>
    </w:p>
    <w:p>
      <w:pPr>
        <w:pStyle w:val="Heading2"/>
      </w:pPr>
      <w:r>
        <w:rPr>
          <w:color w:val="0B3D62"/>
        </w:rPr>
        <w:t>2.7 What the paper reports</w:t>
      </w:r>
    </w:p>
    <w:p>
      <w:pPr>
        <w:spacing w:after="140" w:line="271" w:lineRule="auto"/>
      </w:pPr>
      <w:r>
        <w:rPr>
          <w:i w:val="0"/>
          <w:color w:val="1A1A1A"/>
          <w:sz w:val="21"/>
        </w:rPr>
        <w:t>Writing_paper_01/output/results_summary.csv, area-weighted over the NLUM mask on the Option A footing: mean M falls 2.7% to 14.7% from a baseline of 61.5 t DM/ha, while FPI falls 1.5% to 9.7%. The loss in M is larger than the loss in FPI because Eq. (1) is convex. The paper makes no validation or GEDI claim.</w:t>
      </w:r>
    </w:p>
    <w:p>
      <w:pPr>
        <w:pStyle w:val="Heading2"/>
      </w:pPr>
      <w:r>
        <w:rPr>
          <w:color w:val="0B3D62"/>
        </w:rPr>
        <w:t>2.8 Validations of M before GEDI</w:t>
      </w:r>
    </w:p>
    <w:tbl>
      <w:tblPr>
        <w:tblStyle w:val="LightGrid-Accent1"/>
        <w:tblW w:type="auto" w:w="0"/>
        <w:jc w:val="center"/>
        <w:tblLook w:firstColumn="1" w:firstRow="1" w:lastColumn="0" w:lastRow="0" w:noHBand="0" w:noVBand="1" w:val="04A0"/>
      </w:tblPr>
      <w:tblGrid>
        <w:gridCol w:w="3216"/>
        <w:gridCol w:w="3216"/>
        <w:gridCol w:w="3216"/>
      </w:tblGrid>
      <w:tr>
        <w:tc>
          <w:tcPr>
            <w:tcW w:type="dxa" w:w="3024"/>
          </w:tcPr>
          <w:p>
            <w:r/>
            <w:r>
              <w:rPr>
                <w:b/>
                <w:sz w:val="17"/>
              </w:rPr>
              <w:t>Validation</w:t>
            </w:r>
          </w:p>
        </w:tc>
        <w:tc>
          <w:tcPr>
            <w:tcW w:type="dxa" w:w="3888"/>
          </w:tcPr>
          <w:p>
            <w:r/>
            <w:r>
              <w:rPr>
                <w:b/>
                <w:sz w:val="17"/>
              </w:rPr>
              <w:t>Result</w:t>
            </w:r>
          </w:p>
        </w:tc>
        <w:tc>
          <w:tcPr>
            <w:tcW w:type="dxa" w:w="2736"/>
          </w:tcPr>
          <w:p>
            <w:r/>
            <w:r>
              <w:rPr>
                <w:b/>
                <w:sz w:val="17"/>
              </w:rPr>
              <w:t>Limitation</w:t>
            </w:r>
          </w:p>
        </w:tc>
      </w:tr>
      <w:tr>
        <w:tc>
          <w:tcPr>
            <w:tcW w:type="dxa" w:w="3024"/>
          </w:tcPr>
          <w:p>
            <w:r/>
            <w:r>
              <w:rPr>
                <w:sz w:val="17"/>
              </w:rPr>
              <w:t>Level 1: FullCAM input = New_M_2019</w:t>
            </w:r>
          </w:p>
        </w:tc>
        <w:tc>
          <w:tcPr>
            <w:tcW w:type="dxa" w:w="3888"/>
          </w:tcPr>
          <w:p>
            <w:r/>
            <w:r>
              <w:rPr>
                <w:sz w:val="17"/>
              </w:rPr>
              <w:t>Max difference 0.0</w:t>
            </w:r>
          </w:p>
        </w:tc>
        <w:tc>
          <w:tcPr>
            <w:tcW w:type="dxa" w:w="2736"/>
          </w:tcPr>
          <w:p>
            <w:r/>
            <w:r>
              <w:rPr>
                <w:sz w:val="17"/>
              </w:rPr>
              <w:t>Identity check only</w:t>
            </w:r>
          </w:p>
        </w:tc>
      </w:tr>
      <w:tr>
        <w:tc>
          <w:tcPr>
            <w:tcW w:type="dxa" w:w="3024"/>
          </w:tcPr>
          <w:p>
            <w:r/>
            <w:r>
              <w:rPr>
                <w:sz w:val="17"/>
              </w:rPr>
              <w:t>Level 2: FPI elasticity from library plots</w:t>
            </w:r>
          </w:p>
        </w:tc>
        <w:tc>
          <w:tcPr>
            <w:tcW w:type="dxa" w:w="3888"/>
          </w:tcPr>
          <w:p>
            <w:r/>
            <w:r>
              <w:rPr>
                <w:sz w:val="17"/>
              </w:rPr>
              <w:t>1.37 [0.73, 1.78] at τ = 0.75 against theory 1.49 (pass). Eucalypt tall/open forest: −2.62, ρ = −0.60 (n = 77)</w:t>
            </w:r>
          </w:p>
        </w:tc>
        <w:tc>
          <w:tcPr>
            <w:tcW w:type="dxa" w:w="2736"/>
          </w:tcPr>
          <w:p>
            <w:r/>
            <w:r>
              <w:rPr>
                <w:sz w:val="17"/>
              </w:rPr>
              <w:t>Small sample; τ = 0.90 unstable</w:t>
            </w:r>
          </w:p>
        </w:tc>
      </w:tr>
      <w:tr>
        <w:tc>
          <w:tcPr>
            <w:tcW w:type="dxa" w:w="3024"/>
          </w:tcPr>
          <w:p>
            <w:r/>
            <w:r>
              <w:rPr>
                <w:sz w:val="17"/>
              </w:rPr>
              <w:t>Validation_M: 1,009 National Biomass Library records</w:t>
            </w:r>
          </w:p>
        </w:tc>
        <w:tc>
          <w:tcPr>
            <w:tcW w:type="dxa" w:w="3888"/>
          </w:tcPr>
          <w:p>
            <w:r/>
            <w:r>
              <w:rPr>
                <w:sz w:val="17"/>
              </w:rPr>
              <w:t>Verified mature stands above M′: 38.2% (Eq. 1 footing), 48.8% (Original_M_2004 footing)</w:t>
            </w:r>
          </w:p>
        </w:tc>
        <w:tc>
          <w:tcPr>
            <w:tcW w:type="dxa" w:w="2736"/>
          </w:tcPr>
          <w:p>
            <w:r/>
            <w:r>
              <w:rPr>
                <w:sz w:val="17"/>
              </w:rPr>
              <w:t>Up to 98.9% possible overlap with Roxburgh's calibration plots; circular</w:t>
            </w:r>
          </w:p>
        </w:tc>
      </w:tr>
      <w:tr>
        <w:tc>
          <w:tcPr>
            <w:tcW w:type="dxa" w:w="3024"/>
          </w:tcPr>
          <w:p>
            <w:r/>
            <w:r>
              <w:rPr>
                <w:sz w:val="17"/>
              </w:rPr>
              <w:t>GEDI L4B 1 km means, national (Option B Level 4)</w:t>
            </w:r>
          </w:p>
        </w:tc>
        <w:tc>
          <w:tcPr>
            <w:tcW w:type="dxa" w:w="3888"/>
          </w:tcPr>
          <w:p>
            <w:r/>
            <w:r>
              <w:rPr>
                <w:sz w:val="17"/>
              </w:rPr>
              <w:t>Forest ≥ 50%, unburnt since 2009: 6.3% (New_M_2019), 2.7% (baseline) of cells above M′; up to ~50% in the top FPI bin</w:t>
            </w:r>
          </w:p>
        </w:tc>
        <w:tc>
          <w:tcPr>
            <w:tcW w:type="dxa" w:w="2736"/>
          </w:tcPr>
          <w:p>
            <w:r/>
            <w:r>
              <w:rPr>
                <w:sz w:val="17"/>
              </w:rPr>
              <w:t>A cell mean, not an envelope; the 1 km L4B grid is not NLUM's grid</w:t>
            </w:r>
          </w:p>
        </w:tc>
      </w:tr>
      <w:tr>
        <w:tc>
          <w:tcPr>
            <w:tcW w:type="dxa" w:w="3024"/>
          </w:tcPr>
          <w:p>
            <w:r/>
            <w:r>
              <w:rPr>
                <w:sz w:val="17"/>
              </w:rPr>
              <w:t>Option B Suggestions 1-4 (L4B forest-only, ESA CCI, L4A hotspots, elasticity)</w:t>
            </w:r>
          </w:p>
        </w:tc>
        <w:tc>
          <w:tcPr>
            <w:tcW w:type="dxa" w:w="3888"/>
          </w:tcPr>
          <w:p>
            <w:r/>
            <w:r>
              <w:rPr>
                <w:sz w:val="17"/>
              </w:rPr>
              <w:t>L4A hotspots: fixed-n p95 above baseline M′ in 57.4% of cells. Every Spearman ρ positive (+0.35 to +0.73). Forest elasticity 1.9-2.3, steeper than Eq. (1)</w:t>
            </w:r>
          </w:p>
        </w:tc>
        <w:tc>
          <w:tcPr>
            <w:tcW w:type="dxa" w:w="2736"/>
          </w:tcPr>
          <w:p>
            <w:r/>
            <w:r>
              <w:rPr>
                <w:sz w:val="17"/>
              </w:rPr>
              <w:t>Hotspots chosen where exceedance was already known; bootstrap intervals shown to be optimistic</w:t>
            </w:r>
          </w:p>
        </w:tc>
      </w:tr>
    </w:tbl>
    <w:p>
      <w:pPr>
        <w:spacing w:after="40"/>
      </w:pPr>
    </w:p>
    <w:p>
      <w:pPr>
        <w:spacing w:after="140" w:line="271" w:lineRule="auto"/>
      </w:pPr>
      <w:r>
        <w:rPr>
          <w:i w:val="0"/>
          <w:color w:val="1A1A1A"/>
          <w:sz w:val="21"/>
        </w:rPr>
        <w:t>The L4A footprint pipeline written for that work (Option_B_matched_footing/Validation/files/) was never run. Validation_GEDI/ is its corrected version. It was first run on vic_central alone and is reported here for all six regions.</w:t>
      </w:r>
    </w:p>
    <w:p>
      <w:pPr>
        <w:pStyle w:val="Heading1"/>
      </w:pPr>
      <w:r>
        <w:rPr>
          <w:color w:val="0B3D62"/>
        </w:rPr>
        <w:t>3. The corrected GEDI pipeline (Validation_GEDI/)</w:t>
      </w:r>
    </w:p>
    <w:tbl>
      <w:tblPr>
        <w:tblStyle w:val="LightGrid-Accent1"/>
        <w:tblW w:type="auto" w:w="0"/>
        <w:jc w:val="center"/>
        <w:tblLook w:firstColumn="1" w:firstRow="1" w:lastColumn="0" w:lastRow="0" w:noHBand="0" w:noVBand="1" w:val="04A0"/>
      </w:tblPr>
      <w:tblGrid>
        <w:gridCol w:w="3216"/>
        <w:gridCol w:w="3216"/>
        <w:gridCol w:w="3216"/>
      </w:tblGrid>
      <w:tr>
        <w:tc>
          <w:tcPr>
            <w:tcW w:type="dxa" w:w="2736"/>
          </w:tcPr>
          <w:p>
            <w:r/>
            <w:r>
              <w:rPr>
                <w:b/>
                <w:sz w:val="17"/>
              </w:rPr>
              <w:t>Step</w:t>
            </w:r>
          </w:p>
        </w:tc>
        <w:tc>
          <w:tcPr>
            <w:tcW w:type="dxa" w:w="4464"/>
          </w:tcPr>
          <w:p>
            <w:r/>
            <w:r>
              <w:rPr>
                <w:b/>
                <w:sz w:val="17"/>
              </w:rPr>
              <w:t>What it does</w:t>
            </w:r>
          </w:p>
        </w:tc>
        <w:tc>
          <w:tcPr>
            <w:tcW w:type="dxa" w:w="2448"/>
          </w:tcPr>
          <w:p>
            <w:r/>
            <w:r>
              <w:rPr>
                <w:b/>
                <w:sz w:val="17"/>
              </w:rPr>
              <w:t>Output</w:t>
            </w:r>
          </w:p>
        </w:tc>
      </w:tr>
      <w:tr>
        <w:tc>
          <w:tcPr>
            <w:tcW w:type="dxa" w:w="2736"/>
          </w:tcPr>
          <w:p>
            <w:r/>
            <w:r>
              <w:rPr>
                <w:sz w:val="17"/>
              </w:rPr>
              <w:t>common.py</w:t>
            </w:r>
          </w:p>
        </w:tc>
        <w:tc>
          <w:tcPr>
            <w:tcW w:type="dxa" w:w="4464"/>
          </w:tcPr>
          <w:p>
            <w:r/>
            <w:r>
              <w:rPr>
                <w:sz w:val="17"/>
              </w:rPr>
              <w:t>NLUM grid from the mask's own transform; Earthdata credentials from .netrc; the six regions; PROJ database pinned to rasterio's own</w:t>
            </w:r>
          </w:p>
        </w:tc>
        <w:tc>
          <w:tcPr>
            <w:tcW w:type="dxa" w:w="2448"/>
          </w:tcPr>
          <w:p>
            <w:r/>
            <w:r>
              <w:rPr>
                <w:sz w:val="17"/>
              </w:rPr>
              <w:t>—</w:t>
            </w:r>
          </w:p>
        </w:tc>
      </w:tr>
      <w:tr>
        <w:tc>
          <w:tcPr>
            <w:tcW w:type="dxa" w:w="2736"/>
          </w:tcPr>
          <w:p>
            <w:r/>
            <w:r>
              <w:rPr>
                <w:sz w:val="17"/>
              </w:rPr>
              <w:t>Step_01_check_sources.py</w:t>
            </w:r>
          </w:p>
        </w:tc>
        <w:tc>
          <w:tcPr>
            <w:tcW w:type="dxa" w:w="4464"/>
          </w:tcPr>
          <w:p>
            <w:r/>
            <w:r>
              <w:rPr>
                <w:sz w:val="17"/>
              </w:rPr>
              <w:t>Proves the grid and name fixes; counts granules and GB per region; needs no login</w:t>
            </w:r>
          </w:p>
        </w:tc>
        <w:tc>
          <w:tcPr>
            <w:tcW w:type="dxa" w:w="2448"/>
          </w:tcPr>
          <w:p>
            <w:r/>
            <w:r>
              <w:rPr>
                <w:sz w:val="17"/>
              </w:rPr>
              <w:t>outputs/source_check.csv</w:t>
            </w:r>
          </w:p>
        </w:tc>
      </w:tr>
      <w:tr>
        <w:tc>
          <w:tcPr>
            <w:tcW w:type="dxa" w:w="2736"/>
          </w:tcPr>
          <w:p>
            <w:r/>
            <w:r>
              <w:rPr>
                <w:sz w:val="17"/>
              </w:rPr>
              <w:t>Step_02_build_fire_mask.py</w:t>
            </w:r>
          </w:p>
        </w:tc>
        <w:tc>
          <w:tcPr>
            <w:tcW w:type="dxa" w:w="4464"/>
          </w:tcPr>
          <w:p>
            <w:r/>
            <w:r>
              <w:rPr>
                <w:sz w:val="17"/>
              </w:rPr>
              <w:t>MODIS MCD64A1 v061 burned area, 2009-2025, one NLUM raster per year</w:t>
            </w:r>
          </w:p>
        </w:tc>
        <w:tc>
          <w:tcPr>
            <w:tcW w:type="dxa" w:w="2448"/>
          </w:tcPr>
          <w:p>
            <w:r/>
            <w:r>
              <w:rPr>
                <w:sz w:val="17"/>
              </w:rPr>
              <w:t>fire/burn_year_&lt;y&gt;.tif, last_burn_year.tif</w:t>
            </w:r>
          </w:p>
        </w:tc>
      </w:tr>
      <w:tr>
        <w:tc>
          <w:tcPr>
            <w:tcW w:type="dxa" w:w="2736"/>
          </w:tcPr>
          <w:p>
            <w:r/>
            <w:r>
              <w:rPr>
                <w:sz w:val="17"/>
              </w:rPr>
              <w:t>Step_03_fetch_gedi.py</w:t>
            </w:r>
          </w:p>
        </w:tc>
        <w:tc>
          <w:tcPr>
            <w:tcW w:type="dxa" w:w="4464"/>
          </w:tcPr>
          <w:p>
            <w:r/>
            <w:r>
              <w:rPr>
                <w:sz w:val="17"/>
              </w:rPr>
              <w:t>GEDI L4A v2.1 footprints: download, filter, assign NLUM cell, delete granule; checkpoint per granule</w:t>
            </w:r>
          </w:p>
        </w:tc>
        <w:tc>
          <w:tcPr>
            <w:tcW w:type="dxa" w:w="2448"/>
          </w:tcPr>
          <w:p>
            <w:r/>
            <w:r>
              <w:rPr>
                <w:sz w:val="17"/>
              </w:rPr>
              <w:t>outputs/gedi_parts/&lt;region&gt;/, gedi_l4a_footprints.parquet</w:t>
            </w:r>
          </w:p>
        </w:tc>
      </w:tr>
      <w:tr>
        <w:tc>
          <w:tcPr>
            <w:tcW w:type="dxa" w:w="2736"/>
          </w:tcPr>
          <w:p>
            <w:r/>
            <w:r>
              <w:rPr>
                <w:sz w:val="17"/>
              </w:rPr>
              <w:t>Step_04_aggregate_cells.py</w:t>
            </w:r>
          </w:p>
        </w:tc>
        <w:tc>
          <w:tcPr>
            <w:tcW w:type="dxa" w:w="4464"/>
          </w:tcPr>
          <w:p>
            <w:r/>
            <w:r>
              <w:rPr>
                <w:sz w:val="17"/>
              </w:rPr>
              <w:t>Fire flags; per-cell mean, median, p95, fixed-n p95, p99; sample M′ and FPI at the same cell</w:t>
            </w:r>
          </w:p>
        </w:tc>
        <w:tc>
          <w:tcPr>
            <w:tcW w:type="dxa" w:w="2448"/>
          </w:tcPr>
          <w:p>
            <w:r/>
            <w:r>
              <w:rPr>
                <w:sz w:val="17"/>
              </w:rPr>
              <w:t>outputs/gedi_cells_{all,unburnt}_&lt;tag&gt;.csv</w:t>
            </w:r>
          </w:p>
        </w:tc>
      </w:tr>
      <w:tr>
        <w:tc>
          <w:tcPr>
            <w:tcW w:type="dxa" w:w="2736"/>
          </w:tcPr>
          <w:p>
            <w:r/>
            <w:r>
              <w:rPr>
                <w:sz w:val="17"/>
              </w:rPr>
              <w:t>Step_05_analyse_vs_M.py</w:t>
            </w:r>
          </w:p>
        </w:tc>
        <w:tc>
          <w:tcPr>
            <w:tcW w:type="dxa" w:w="4464"/>
          </w:tcPr>
          <w:p>
            <w:r/>
            <w:r>
              <w:rPr>
                <w:sz w:val="17"/>
              </w:rPr>
              <w:t>Exceedance, FPI bins, forest type, elasticity; figures</w:t>
            </w:r>
          </w:p>
        </w:tc>
        <w:tc>
          <w:tcPr>
            <w:tcW w:type="dxa" w:w="2448"/>
          </w:tcPr>
          <w:p>
            <w:r/>
            <w:r>
              <w:rPr>
                <w:sz w:val="17"/>
              </w:rPr>
              <w:t>outputs/analysis/, outputs/figures/</w:t>
            </w:r>
          </w:p>
        </w:tc>
      </w:tr>
      <w:tr>
        <w:tc>
          <w:tcPr>
            <w:tcW w:type="dxa" w:w="2736"/>
          </w:tcPr>
          <w:p>
            <w:r/>
            <w:r>
              <w:rPr>
                <w:sz w:val="17"/>
              </w:rPr>
              <w:t>make_validation_gedi_report.py</w:t>
            </w:r>
          </w:p>
        </w:tc>
        <w:tc>
          <w:tcPr>
            <w:tcW w:type="dxa" w:w="4464"/>
          </w:tcPr>
          <w:p>
            <w:r/>
            <w:r>
              <w:rPr>
                <w:sz w:val="17"/>
              </w:rPr>
              <w:t>This document</w:t>
            </w:r>
          </w:p>
        </w:tc>
        <w:tc>
          <w:tcPr>
            <w:tcW w:type="dxa" w:w="2448"/>
          </w:tcPr>
          <w:p>
            <w:r/>
            <w:r>
              <w:rPr>
                <w:sz w:val="17"/>
              </w:rPr>
              <w:t>Validation_GEDI_report.docx</w:t>
            </w:r>
          </w:p>
        </w:tc>
      </w:tr>
    </w:tbl>
    <w:p>
      <w:pPr>
        <w:spacing w:after="40"/>
      </w:pPr>
    </w:p>
    <w:p>
      <w:pPr>
        <w:pStyle w:val="Heading2"/>
      </w:pPr>
      <w:r>
        <w:rPr>
          <w:color w:val="0B3D62"/>
        </w:rPr>
        <w:t>3.1 Defects fixed relative to the unexecuted original</w:t>
      </w:r>
    </w:p>
    <w:tbl>
      <w:tblPr>
        <w:tblStyle w:val="LightGrid-Accent1"/>
        <w:tblW w:type="auto" w:w="0"/>
        <w:jc w:val="center"/>
        <w:tblLook w:firstColumn="1" w:firstRow="1" w:lastColumn="0" w:lastRow="0" w:noHBand="0" w:noVBand="1" w:val="04A0"/>
      </w:tblPr>
      <w:tblGrid>
        <w:gridCol w:w="3216"/>
        <w:gridCol w:w="3216"/>
        <w:gridCol w:w="3216"/>
      </w:tblGrid>
      <w:tr>
        <w:tc>
          <w:tcPr>
            <w:tcW w:type="dxa" w:w="2592"/>
          </w:tcPr>
          <w:p>
            <w:r/>
            <w:r>
              <w:rPr>
                <w:b/>
                <w:sz w:val="17"/>
              </w:rPr>
              <w:t>Defect</w:t>
            </w:r>
          </w:p>
        </w:tc>
        <w:tc>
          <w:tcPr>
            <w:tcW w:type="dxa" w:w="3888"/>
          </w:tcPr>
          <w:p>
            <w:r/>
            <w:r>
              <w:rPr>
                <w:b/>
                <w:sz w:val="17"/>
              </w:rPr>
              <w:t>Effect</w:t>
            </w:r>
          </w:p>
        </w:tc>
        <w:tc>
          <w:tcPr>
            <w:tcW w:type="dxa" w:w="3168"/>
          </w:tcPr>
          <w:p>
            <w:r/>
            <w:r>
              <w:rPr>
                <w:b/>
                <w:sz w:val="17"/>
              </w:rPr>
              <w:t>Fix</w:t>
            </w:r>
          </w:p>
        </w:tc>
      </w:tr>
      <w:tr>
        <w:tc>
          <w:tcPr>
            <w:tcW w:type="dxa" w:w="2592"/>
          </w:tcPr>
          <w:p>
            <w:r/>
            <w:r>
              <w:rPr>
                <w:sz w:val="17"/>
              </w:rPr>
              <w:t>Cells on floor(lon / 0.01)</w:t>
            </w:r>
          </w:p>
        </w:tc>
        <w:tc>
          <w:tcPr>
            <w:tcW w:type="dxa" w:w="3888"/>
          </w:tcPr>
          <w:p>
            <w:r/>
            <w:r>
              <w:rPr>
                <w:sz w:val="17"/>
              </w:rPr>
              <w:t>Cell edges at multiples of 0.01, NLUM's at 112.925 + 0.01k: every cell half a cell off, and M′ and FPI sampled on a cell boundary</w:t>
            </w:r>
          </w:p>
        </w:tc>
        <w:tc>
          <w:tcPr>
            <w:tcW w:type="dxa" w:w="3168"/>
          </w:tcPr>
          <w:p>
            <w:r/>
            <w:r>
              <w:rPr>
                <w:sz w:val="17"/>
              </w:rPr>
              <w:t>Cell index from NLUM's transform; rasters sampled by row/column</w:t>
            </w:r>
          </w:p>
        </w:tc>
      </w:tr>
      <w:tr>
        <w:tc>
          <w:tcPr>
            <w:tcW w:type="dxa" w:w="2592"/>
          </w:tcPr>
          <w:p>
            <w:r/>
            <w:r>
              <w:rPr>
                <w:sz w:val="17"/>
              </w:rPr>
              <w:t>Short name GEDI_L4A_AGB_Density_V2_1</w:t>
            </w:r>
          </w:p>
        </w:tc>
        <w:tc>
          <w:tcPr>
            <w:tcW w:type="dxa" w:w="3888"/>
          </w:tcPr>
          <w:p>
            <w:r/>
            <w:r>
              <w:rPr>
                <w:sz w:val="17"/>
              </w:rPr>
              <w:t>Zero granules found in every region</w:t>
            </w:r>
          </w:p>
        </w:tc>
        <w:tc>
          <w:tcPr>
            <w:tcW w:type="dxa" w:w="3168"/>
          </w:tcPr>
          <w:p>
            <w:r/>
            <w:r>
              <w:rPr>
                <w:sz w:val="17"/>
              </w:rPr>
              <w:t>Collection resolved from CMR by keyword to C2237824918-ORNL_CLOUD (..._V2_1_2056)</w:t>
            </w:r>
          </w:p>
        </w:tc>
      </w:tr>
      <w:tr>
        <w:tc>
          <w:tcPr>
            <w:tcW w:type="dxa" w:w="2592"/>
          </w:tcPr>
          <w:p>
            <w:r/>
            <w:r>
              <w:rPr>
                <w:sz w:val="17"/>
              </w:rPr>
              <w:t>No fire handling</w:t>
            </w:r>
          </w:p>
        </w:tc>
        <w:tc>
          <w:tcPr>
            <w:tcW w:type="dxa" w:w="3888"/>
          </w:tcPr>
          <w:p>
            <w:r/>
            <w:r>
              <w:rPr>
                <w:sz w:val="17"/>
              </w:rPr>
              <w:t>Black Summer burned through three of the six regions; a burnt canopy reads as low biomass</w:t>
            </w:r>
          </w:p>
        </w:tc>
        <w:tc>
          <w:tcPr>
            <w:tcW w:type="dxa" w:w="3168"/>
          </w:tcPr>
          <w:p>
            <w:r/>
            <w:r>
              <w:rPr>
                <w:sz w:val="17"/>
              </w:rPr>
              <w:t>Step_02 fire mask; footprints within 10 years of a burn excluded</w:t>
            </w:r>
          </w:p>
        </w:tc>
      </w:tr>
      <w:tr>
        <w:tc>
          <w:tcPr>
            <w:tcW w:type="dxa" w:w="2592"/>
          </w:tcPr>
          <w:p>
            <w:r/>
            <w:r>
              <w:rPr>
                <w:sz w:val="17"/>
              </w:rPr>
              <w:t>p99 on 30 footprints</w:t>
            </w:r>
          </w:p>
        </w:tc>
        <w:tc>
          <w:tcPr>
            <w:tcW w:type="dxa" w:w="3888"/>
          </w:tcPr>
          <w:p>
            <w:r/>
            <w:r>
              <w:rPr>
                <w:sz w:val="17"/>
              </w:rPr>
              <w:t>p99 of 30 values is the maximum</w:t>
            </w:r>
          </w:p>
        </w:tc>
        <w:tc>
          <w:tcPr>
            <w:tcW w:type="dxa" w:w="3168"/>
          </w:tcPr>
          <w:p>
            <w:r/>
            <w:r>
              <w:rPr>
                <w:sz w:val="17"/>
              </w:rPr>
              <w:t>p99 only with ≥ 100 footprints</w:t>
            </w:r>
          </w:p>
        </w:tc>
      </w:tr>
      <w:tr>
        <w:tc>
          <w:tcPr>
            <w:tcW w:type="dxa" w:w="2592"/>
          </w:tcPr>
          <w:p>
            <w:r/>
            <w:r>
              <w:rPr>
                <w:sz w:val="17"/>
              </w:rPr>
              <w:t>p95 rises with footprint count</w:t>
            </w:r>
          </w:p>
        </w:tc>
        <w:tc>
          <w:tcPr>
            <w:tcW w:type="dxa" w:w="3888"/>
          </w:tcPr>
          <w:p>
            <w:r/>
            <w:r>
              <w:rPr>
                <w:sz w:val="17"/>
              </w:rPr>
              <w:t>Busy cells look taller for sampling reasons alone</w:t>
            </w:r>
          </w:p>
        </w:tc>
        <w:tc>
          <w:tcPr>
            <w:tcW w:type="dxa" w:w="3168"/>
          </w:tcPr>
          <w:p>
            <w:r/>
            <w:r>
              <w:rPr>
                <w:sz w:val="17"/>
              </w:rPr>
              <w:t>p95 from 25 draws of exactly 30 footprints</w:t>
            </w:r>
          </w:p>
        </w:tc>
      </w:tr>
    </w:tbl>
    <w:p>
      <w:pPr>
        <w:spacing w:after="40"/>
      </w:pPr>
    </w:p>
    <w:p>
      <w:pPr>
        <w:pStyle w:val="Heading2"/>
      </w:pPr>
      <w:r>
        <w:rPr>
          <w:color w:val="0B3D62"/>
        </w:rPr>
        <w:t>3.2 Problems found and fixed while running it (17 Sep 2026)</w:t>
      </w:r>
    </w:p>
    <w:tbl>
      <w:tblPr>
        <w:tblStyle w:val="LightGrid-Accent1"/>
        <w:tblW w:type="auto" w:w="0"/>
        <w:jc w:val="center"/>
        <w:tblLook w:firstColumn="1" w:firstRow="1" w:lastColumn="0" w:lastRow="0" w:noHBand="0" w:noVBand="1" w:val="04A0"/>
      </w:tblPr>
      <w:tblGrid>
        <w:gridCol w:w="3216"/>
        <w:gridCol w:w="3216"/>
        <w:gridCol w:w="3216"/>
      </w:tblGrid>
      <w:tr>
        <w:tc>
          <w:tcPr>
            <w:tcW w:type="dxa" w:w="2592"/>
          </w:tcPr>
          <w:p>
            <w:r/>
            <w:r>
              <w:rPr>
                <w:b/>
                <w:sz w:val="17"/>
              </w:rPr>
              <w:t>Problem</w:t>
            </w:r>
          </w:p>
        </w:tc>
        <w:tc>
          <w:tcPr>
            <w:tcW w:type="dxa" w:w="3312"/>
          </w:tcPr>
          <w:p>
            <w:r/>
            <w:r>
              <w:rPr>
                <w:b/>
                <w:sz w:val="17"/>
              </w:rPr>
              <w:t>Cause</w:t>
            </w:r>
          </w:p>
        </w:tc>
        <w:tc>
          <w:tcPr>
            <w:tcW w:type="dxa" w:w="3744"/>
          </w:tcPr>
          <w:p>
            <w:r/>
            <w:r>
              <w:rPr>
                <w:b/>
                <w:sz w:val="17"/>
              </w:rPr>
              <w:t>Fix</w:t>
            </w:r>
          </w:p>
        </w:tc>
      </w:tr>
      <w:tr>
        <w:tc>
          <w:tcPr>
            <w:tcW w:type="dxa" w:w="2592"/>
          </w:tcPr>
          <w:p>
            <w:r/>
            <w:r>
              <w:rPr>
                <w:sz w:val="17"/>
              </w:rPr>
              <w:t>Every MODIS file failed to open</w:t>
            </w:r>
          </w:p>
        </w:tc>
        <w:tc>
          <w:tcPr>
            <w:tcW w:type="dxa" w:w="3312"/>
          </w:tcPr>
          <w:p>
            <w:r/>
            <w:r>
              <w:rPr>
                <w:sz w:val="17"/>
              </w:rPr>
              <w:t>JinzhuLuto's rasterio GDAL has no HDF4 driver; the environment must not be modified</w:t>
            </w:r>
          </w:p>
        </w:tc>
        <w:tc>
          <w:tcPr>
            <w:tcW w:type="dxa" w:w="3744"/>
          </w:tcPr>
          <w:p>
            <w:r/>
            <w:r>
              <w:rPr>
                <w:sz w:val="17"/>
              </w:rPr>
              <w:t>Each HDF4 file converted to a temporary GeoTIFF by the existing zoenv environment's gdal_translate.exe (GDAL 3.6.2), run as a subprocess; zoenv is only executed</w:t>
            </w:r>
          </w:p>
        </w:tc>
      </w:tr>
      <w:tr>
        <w:tc>
          <w:tcPr>
            <w:tcW w:type="dxa" w:w="2592"/>
          </w:tcPr>
          <w:p>
            <w:r/>
            <w:r>
              <w:rPr>
                <w:sz w:val="17"/>
              </w:rPr>
              <w:t>CRSError on every burnt pixel</w:t>
            </w:r>
          </w:p>
        </w:tc>
        <w:tc>
          <w:tcPr>
            <w:tcW w:type="dxa" w:w="3312"/>
          </w:tcPr>
          <w:p>
            <w:r/>
            <w:r>
              <w:rPr>
                <w:sz w:val="17"/>
              </w:rPr>
              <w:t>Machine-wide PROJ_LIB points at a stale PostGIS proj.db</w:t>
            </w:r>
          </w:p>
        </w:tc>
        <w:tc>
          <w:tcPr>
            <w:tcW w:type="dxa" w:w="3744"/>
          </w:tcPr>
          <w:p>
            <w:r/>
            <w:r>
              <w:rPr>
                <w:sz w:val="17"/>
              </w:rPr>
              <w:t>common.py points PROJ at rasterio's own proj_data before rasterio loads</w:t>
            </w:r>
          </w:p>
        </w:tc>
      </w:tr>
      <w:tr>
        <w:tc>
          <w:tcPr>
            <w:tcW w:type="dxa" w:w="2592"/>
          </w:tcPr>
          <w:p>
            <w:r/>
            <w:r>
              <w:rPr>
                <w:sz w:val="17"/>
              </w:rPr>
              <w:t>Default fire record started 2010</w:t>
            </w:r>
          </w:p>
        </w:tc>
        <w:tc>
          <w:tcPr>
            <w:tcW w:type="dxa" w:w="3312"/>
          </w:tcPr>
          <w:p>
            <w:r/>
            <w:r>
              <w:rPr>
                <w:sz w:val="17"/>
              </w:rPr>
              <w:t>Black Saturday (Feb 2009) burned inside vic_central; a 2019 footprint needs history to 2009</w:t>
            </w:r>
          </w:p>
        </w:tc>
        <w:tc>
          <w:tcPr>
            <w:tcW w:type="dxa" w:w="3744"/>
          </w:tcPr>
          <w:p>
            <w:r/>
            <w:r>
              <w:rPr>
                <w:sz w:val="17"/>
              </w:rPr>
              <w:t>Default --start 2009-01-01; years follow the arguments</w:t>
            </w:r>
          </w:p>
        </w:tc>
      </w:tr>
      <w:tr>
        <w:tc>
          <w:tcPr>
            <w:tcW w:type="dxa" w:w="2592"/>
          </w:tcPr>
          <w:p>
            <w:r/>
            <w:r>
              <w:rPr>
                <w:sz w:val="17"/>
              </w:rPr>
              <w:t>An all-failing run would still write rasters</w:t>
            </w:r>
          </w:p>
        </w:tc>
        <w:tc>
          <w:tcPr>
            <w:tcW w:type="dxa" w:w="3312"/>
          </w:tcPr>
          <w:p>
            <w:r/>
            <w:r>
              <w:rPr>
                <w:sz w:val="17"/>
              </w:rPr>
              <w:t>Read failures were only printed</w:t>
            </w:r>
          </w:p>
        </w:tc>
        <w:tc>
          <w:tcPr>
            <w:tcW w:type="dxa" w:w="3744"/>
          </w:tcPr>
          <w:p>
            <w:r/>
            <w:r>
              <w:rPr>
                <w:sz w:val="17"/>
              </w:rPr>
              <w:t>Stops after 5 consecutive failures</w:t>
            </w:r>
          </w:p>
        </w:tc>
      </w:tr>
      <w:tr>
        <w:tc>
          <w:tcPr>
            <w:tcW w:type="dxa" w:w="2592"/>
          </w:tcPr>
          <w:p>
            <w:r/>
            <w:r>
              <w:rPr>
                <w:sz w:val="17"/>
              </w:rPr>
              <w:t>Step_03 needed earthaccess</w:t>
            </w:r>
          </w:p>
        </w:tc>
        <w:tc>
          <w:tcPr>
            <w:tcW w:type="dxa" w:w="3312"/>
          </w:tcPr>
          <w:p>
            <w:r/>
            <w:r>
              <w:rPr>
                <w:sz w:val="17"/>
              </w:rPr>
              <w:t>Not installed in JinzhuLuto</w:t>
            </w:r>
          </w:p>
        </w:tc>
        <w:tc>
          <w:tcPr>
            <w:tcW w:type="dxa" w:w="3744"/>
          </w:tcPr>
          <w:p>
            <w:r/>
            <w:r>
              <w:rPr>
                <w:sz w:val="17"/>
              </w:rPr>
              <w:t>Search via CMR and download via the same authenticated session as Step_02</w:t>
            </w:r>
          </w:p>
        </w:tc>
      </w:tr>
      <w:tr>
        <w:tc>
          <w:tcPr>
            <w:tcW w:type="dxa" w:w="2592"/>
          </w:tcPr>
          <w:p>
            <w:r/>
            <w:r>
              <w:rPr>
                <w:sz w:val="17"/>
              </w:rPr>
              <w:t>An interrupted download looked complete</w:t>
            </w:r>
          </w:p>
        </w:tc>
        <w:tc>
          <w:tcPr>
            <w:tcW w:type="dxa" w:w="3312"/>
          </w:tcPr>
          <w:p>
            <w:r/>
            <w:r>
              <w:rPr>
                <w:sz w:val="17"/>
              </w:rPr>
              <w:t>Size check only</w:t>
            </w:r>
          </w:p>
        </w:tc>
        <w:tc>
          <w:tcPr>
            <w:tcW w:type="dxa" w:w="3744"/>
          </w:tcPr>
          <w:p>
            <w:r/>
            <w:r>
              <w:rPr>
                <w:sz w:val="17"/>
              </w:rPr>
              <w:t>Written to .part and renamed when Content-Length matches</w:t>
            </w:r>
          </w:p>
        </w:tc>
      </w:tr>
      <w:tr>
        <w:tc>
          <w:tcPr>
            <w:tcW w:type="dxa" w:w="2592"/>
          </w:tcPr>
          <w:p>
            <w:r/>
            <w:r>
              <w:rPr>
                <w:sz w:val="17"/>
              </w:rPr>
              <w:t>Two M′ layers would overwrite one output</w:t>
            </w:r>
          </w:p>
        </w:tc>
        <w:tc>
          <w:tcPr>
            <w:tcW w:type="dxa" w:w="3312"/>
          </w:tcPr>
          <w:p>
            <w:r/>
            <w:r>
              <w:rPr>
                <w:sz w:val="17"/>
              </w:rPr>
              <w:t>Fixed file names</w:t>
            </w:r>
          </w:p>
        </w:tc>
        <w:tc>
          <w:tcPr>
            <w:tcW w:type="dxa" w:w="3744"/>
          </w:tcPr>
          <w:p>
            <w:r/>
            <w:r>
              <w:rPr>
                <w:sz w:val="17"/>
              </w:rPr>
              <w:t>--tag option on Step_04</w:t>
            </w:r>
          </w:p>
        </w:tc>
      </w:tr>
    </w:tbl>
    <w:p>
      <w:pPr>
        <w:spacing w:after="40"/>
      </w:pPr>
    </w:p>
    <w:p>
      <w:pPr>
        <w:pStyle w:val="Heading2"/>
      </w:pPr>
      <w:r>
        <w:rPr>
          <w:color w:val="0B3D62"/>
        </w:rPr>
        <w:t>3.3 Parameters</w:t>
      </w:r>
    </w:p>
    <w:tbl>
      <w:tblPr>
        <w:tblStyle w:val="LightGrid-Accent1"/>
        <w:tblW w:type="auto" w:w="0"/>
        <w:jc w:val="center"/>
        <w:tblLook w:firstColumn="1" w:firstRow="1" w:lastColumn="0" w:lastRow="0" w:noHBand="0" w:noVBand="1" w:val="04A0"/>
      </w:tblPr>
      <w:tblGrid>
        <w:gridCol w:w="4824"/>
        <w:gridCol w:w="4824"/>
      </w:tblGrid>
      <w:tr>
        <w:tc>
          <w:tcPr>
            <w:tcW w:type="dxa" w:w="2304"/>
          </w:tcPr>
          <w:p>
            <w:r/>
            <w:r>
              <w:rPr>
                <w:b/>
                <w:sz w:val="17"/>
              </w:rPr>
              <w:t>Parameter</w:t>
            </w:r>
          </w:p>
        </w:tc>
        <w:tc>
          <w:tcPr>
            <w:tcW w:type="dxa" w:w="7344"/>
          </w:tcPr>
          <w:p>
            <w:r/>
            <w:r>
              <w:rPr>
                <w:b/>
                <w:sz w:val="17"/>
              </w:rPr>
              <w:t>Value</w:t>
            </w:r>
          </w:p>
        </w:tc>
      </w:tr>
      <w:tr>
        <w:tc>
          <w:tcPr>
            <w:tcW w:type="dxa" w:w="2304"/>
          </w:tcPr>
          <w:p>
            <w:r/>
            <w:r>
              <w:rPr>
                <w:sz w:val="17"/>
              </w:rPr>
              <w:t>GEDI product</w:t>
            </w:r>
          </w:p>
        </w:tc>
        <w:tc>
          <w:tcPr>
            <w:tcW w:type="dxa" w:w="7344"/>
          </w:tcPr>
          <w:p>
            <w:r/>
            <w:r>
              <w:rPr>
                <w:sz w:val="17"/>
              </w:rPr>
              <w:t>L4A Footprint Level AGBD v2.1, C2237824918-ORNL_CLOUD</w:t>
            </w:r>
          </w:p>
        </w:tc>
      </w:tr>
      <w:tr>
        <w:tc>
          <w:tcPr>
            <w:tcW w:type="dxa" w:w="2304"/>
          </w:tcPr>
          <w:p>
            <w:r/>
            <w:r>
              <w:rPr>
                <w:sz w:val="17"/>
              </w:rPr>
              <w:t>Time</w:t>
            </w:r>
          </w:p>
        </w:tc>
        <w:tc>
          <w:tcPr>
            <w:tcW w:type="dxa" w:w="7344"/>
          </w:tcPr>
          <w:p>
            <w:r/>
            <w:r>
              <w:rPr>
                <w:sz w:val="17"/>
              </w:rPr>
              <w:t>2019-04-18 to 2024-11-27 requested; footprints 2019-04-18 to 2024-11-27</w:t>
            </w:r>
          </w:p>
        </w:tc>
      </w:tr>
      <w:tr>
        <w:tc>
          <w:tcPr>
            <w:tcW w:type="dxa" w:w="2304"/>
          </w:tcPr>
          <w:p>
            <w:r/>
            <w:r>
              <w:rPr>
                <w:sz w:val="17"/>
              </w:rPr>
              <w:t>Beams</w:t>
            </w:r>
          </w:p>
        </w:tc>
        <w:tc>
          <w:tcPr>
            <w:tcW w:type="dxa" w:w="7344"/>
          </w:tcPr>
          <w:p>
            <w:r/>
            <w:r>
              <w:rPr>
                <w:sz w:val="17"/>
              </w:rPr>
              <w:t>Power beams only: BEAM0101, 0110, 1000, 1011</w:t>
            </w:r>
          </w:p>
        </w:tc>
      </w:tr>
      <w:tr>
        <w:tc>
          <w:tcPr>
            <w:tcW w:type="dxa" w:w="2304"/>
          </w:tcPr>
          <w:p>
            <w:r/>
            <w:r>
              <w:rPr>
                <w:sz w:val="17"/>
              </w:rPr>
              <w:t>Footprint filters</w:t>
            </w:r>
          </w:p>
        </w:tc>
        <w:tc>
          <w:tcPr>
            <w:tcW w:type="dxa" w:w="7344"/>
          </w:tcPr>
          <w:p>
            <w:r/>
            <w:r>
              <w:rPr>
                <w:sz w:val="17"/>
              </w:rPr>
              <w:t>l4_quality_flag = 1, degrade_flag = 0, sensitivity &gt; 0.95, agbd ≥ 0 and finite, inside region box</w:t>
            </w:r>
          </w:p>
        </w:tc>
      </w:tr>
      <w:tr>
        <w:tc>
          <w:tcPr>
            <w:tcW w:type="dxa" w:w="2304"/>
          </w:tcPr>
          <w:p>
            <w:r/>
            <w:r>
              <w:rPr>
                <w:sz w:val="17"/>
              </w:rPr>
              <w:t>Cell</w:t>
            </w:r>
          </w:p>
        </w:tc>
        <w:tc>
          <w:tcPr>
            <w:tcW w:type="dxa" w:w="7344"/>
          </w:tcPr>
          <w:p>
            <w:r/>
            <w:r>
              <w:rPr>
                <w:sz w:val="17"/>
              </w:rPr>
              <w:t>NLUM 0.01° cell (~1 km); ≥ 30 footprints</w:t>
            </w:r>
          </w:p>
        </w:tc>
      </w:tr>
      <w:tr>
        <w:tc>
          <w:tcPr>
            <w:tcW w:type="dxa" w:w="2304"/>
          </w:tcPr>
          <w:p>
            <w:r/>
            <w:r>
              <w:rPr>
                <w:sz w:val="17"/>
              </w:rPr>
              <w:t>Fire</w:t>
            </w:r>
          </w:p>
        </w:tc>
        <w:tc>
          <w:tcPr>
            <w:tcW w:type="dxa" w:w="7344"/>
          </w:tcPr>
          <w:p>
            <w:r/>
            <w:r>
              <w:rPr>
                <w:sz w:val="17"/>
              </w:rPr>
              <w:t>MCD64A1 v061, 500 m, nearest to NLUM; footprint excluded if its cell burned in the 10 years up to its acquisition year</w:t>
            </w:r>
          </w:p>
        </w:tc>
      </w:tr>
      <w:tr>
        <w:tc>
          <w:tcPr>
            <w:tcW w:type="dxa" w:w="2304"/>
          </w:tcPr>
          <w:p>
            <w:r/>
            <w:r>
              <w:rPr>
                <w:sz w:val="17"/>
              </w:rPr>
              <w:t>FPI</w:t>
            </w:r>
          </w:p>
        </w:tc>
        <w:tc>
          <w:tcPr>
            <w:tcW w:type="dxa" w:w="7344"/>
          </w:tcPr>
          <w:p>
            <w:r/>
            <w:r>
              <w:rPr>
                <w:sz w:val="17"/>
              </w:rPr>
              <w:t>Mean of observed FPI 1985-2014 (Random_forest_CSIRO/required_data/fpi), same cells</w:t>
            </w:r>
          </w:p>
        </w:tc>
      </w:tr>
      <w:tr>
        <w:tc>
          <w:tcPr>
            <w:tcW w:type="dxa" w:w="2304"/>
          </w:tcPr>
          <w:p>
            <w:r/>
            <w:r>
              <w:rPr>
                <w:sz w:val="17"/>
              </w:rPr>
              <w:t>M′ layers</w:t>
            </w:r>
          </w:p>
        </w:tc>
        <w:tc>
          <w:tcPr>
            <w:tcW w:type="dxa" w:w="7344"/>
          </w:tcPr>
          <w:p>
            <w:r/>
            <w:r>
              <w:rPr>
                <w:sz w:val="17"/>
              </w:rPr>
              <w:t>Data/Processed/maxAbgM_v2/New_M_2019.tif; Writing_paper_01/output/baseline_M_1985-2014.tif</w:t>
            </w:r>
          </w:p>
        </w:tc>
      </w:tr>
    </w:tbl>
    <w:p>
      <w:pPr>
        <w:spacing w:after="40"/>
      </w:pPr>
    </w:p>
    <w:p>
      <w:pPr>
        <w:pStyle w:val="Heading1"/>
      </w:pPr>
      <w:r>
        <w:rPr>
          <w:color w:val="0B3D62"/>
        </w:rPr>
        <w:t>4. Results for six regions</w:t>
      </w:r>
    </w:p>
    <w:p>
      <w:pPr>
        <w:pStyle w:val="Heading2"/>
      </w:pPr>
      <w:r>
        <w:rPr>
          <w:color w:val="0B3D62"/>
        </w:rPr>
        <w:t>4.1 Data</w:t>
      </w:r>
    </w:p>
    <w:p>
      <w:pPr>
        <w:spacing w:after="140" w:line="271" w:lineRule="auto"/>
      </w:pPr>
      <w:r>
        <w:rPr>
          <w:i w:val="0"/>
          <w:color w:val="1A1A1A"/>
          <w:sz w:val="21"/>
        </w:rPr>
        <w:t>2,919 of 4,559 L4A granules crossing the six boxes held at least one footprint that passed the filters (the rest were cloud or only clipped a corner). They gave 12,341,125 footprints in 267,863 NLUM cells. 70.7% of footprints are classed evergreen broadleaf trees. Median AGBD per footprint is 56.9 t DM/ha, the 95th percentile 526.4. The median relative standard error (agbd_se / agbd) is 14.1%.</w:t>
      </w:r>
    </w:p>
    <w:tbl>
      <w:tblPr>
        <w:tblStyle w:val="LightGrid-Accent1"/>
        <w:tblW w:type="auto" w:w="0"/>
        <w:jc w:val="center"/>
        <w:tblLook w:firstColumn="1" w:firstRow="1" w:lastColumn="0" w:lastRow="0" w:noHBand="0" w:noVBand="1" w:val="04A0"/>
      </w:tblPr>
      <w:tblGrid>
        <w:gridCol w:w="1378"/>
        <w:gridCol w:w="1378"/>
        <w:gridCol w:w="1378"/>
        <w:gridCol w:w="1378"/>
        <w:gridCol w:w="1378"/>
        <w:gridCol w:w="1378"/>
        <w:gridCol w:w="1378"/>
      </w:tblGrid>
      <w:tr>
        <w:tc>
          <w:tcPr>
            <w:tcW w:type="dxa" w:w="1378"/>
          </w:tcPr>
          <w:p>
            <w:r/>
            <w:r>
              <w:rPr>
                <w:b/>
                <w:sz w:val="17"/>
              </w:rPr>
              <w:t>Year</w:t>
            </w:r>
          </w:p>
        </w:tc>
        <w:tc>
          <w:tcPr>
            <w:tcW w:type="dxa" w:w="1378"/>
          </w:tcPr>
          <w:p>
            <w:r/>
            <w:r>
              <w:rPr>
                <w:b/>
                <w:sz w:val="17"/>
              </w:rPr>
              <w:t>2019</w:t>
            </w:r>
          </w:p>
        </w:tc>
        <w:tc>
          <w:tcPr>
            <w:tcW w:type="dxa" w:w="1378"/>
          </w:tcPr>
          <w:p>
            <w:r/>
            <w:r>
              <w:rPr>
                <w:b/>
                <w:sz w:val="17"/>
              </w:rPr>
              <w:t>2020</w:t>
            </w:r>
          </w:p>
        </w:tc>
        <w:tc>
          <w:tcPr>
            <w:tcW w:type="dxa" w:w="1378"/>
          </w:tcPr>
          <w:p>
            <w:r/>
            <w:r>
              <w:rPr>
                <w:b/>
                <w:sz w:val="17"/>
              </w:rPr>
              <w:t>2021</w:t>
            </w:r>
          </w:p>
        </w:tc>
        <w:tc>
          <w:tcPr>
            <w:tcW w:type="dxa" w:w="1378"/>
          </w:tcPr>
          <w:p>
            <w:r/>
            <w:r>
              <w:rPr>
                <w:b/>
                <w:sz w:val="17"/>
              </w:rPr>
              <w:t>2022</w:t>
            </w:r>
          </w:p>
        </w:tc>
        <w:tc>
          <w:tcPr>
            <w:tcW w:type="dxa" w:w="1378"/>
          </w:tcPr>
          <w:p>
            <w:r/>
            <w:r>
              <w:rPr>
                <w:b/>
                <w:sz w:val="17"/>
              </w:rPr>
              <w:t>2023</w:t>
            </w:r>
          </w:p>
        </w:tc>
        <w:tc>
          <w:tcPr>
            <w:tcW w:type="dxa" w:w="1378"/>
          </w:tcPr>
          <w:p>
            <w:r/>
            <w:r>
              <w:rPr>
                <w:b/>
                <w:sz w:val="17"/>
              </w:rPr>
              <w:t>2024</w:t>
            </w:r>
          </w:p>
        </w:tc>
      </w:tr>
      <w:tr>
        <w:tc>
          <w:tcPr>
            <w:tcW w:type="dxa" w:w="1378"/>
          </w:tcPr>
          <w:p>
            <w:r/>
            <w:r>
              <w:rPr>
                <w:sz w:val="17"/>
              </w:rPr>
              <w:t>Footprints</w:t>
            </w:r>
          </w:p>
        </w:tc>
        <w:tc>
          <w:tcPr>
            <w:tcW w:type="dxa" w:w="1378"/>
          </w:tcPr>
          <w:p>
            <w:r/>
            <w:r>
              <w:rPr>
                <w:sz w:val="17"/>
              </w:rPr>
              <w:t>2,064,663</w:t>
            </w:r>
          </w:p>
        </w:tc>
        <w:tc>
          <w:tcPr>
            <w:tcW w:type="dxa" w:w="1378"/>
          </w:tcPr>
          <w:p>
            <w:r/>
            <w:r>
              <w:rPr>
                <w:sz w:val="17"/>
              </w:rPr>
              <w:t>2,799,474</w:t>
            </w:r>
          </w:p>
        </w:tc>
        <w:tc>
          <w:tcPr>
            <w:tcW w:type="dxa" w:w="1378"/>
          </w:tcPr>
          <w:p>
            <w:r/>
            <w:r>
              <w:rPr>
                <w:sz w:val="17"/>
              </w:rPr>
              <w:t>2,697,012</w:t>
            </w:r>
          </w:p>
        </w:tc>
        <w:tc>
          <w:tcPr>
            <w:tcW w:type="dxa" w:w="1378"/>
          </w:tcPr>
          <w:p>
            <w:r/>
            <w:r>
              <w:rPr>
                <w:sz w:val="17"/>
              </w:rPr>
              <w:t>2,727,761</w:t>
            </w:r>
          </w:p>
        </w:tc>
        <w:tc>
          <w:tcPr>
            <w:tcW w:type="dxa" w:w="1378"/>
          </w:tcPr>
          <w:p>
            <w:r/>
            <w:r>
              <w:rPr>
                <w:sz w:val="17"/>
              </w:rPr>
              <w:t>574,382</w:t>
            </w:r>
          </w:p>
        </w:tc>
        <w:tc>
          <w:tcPr>
            <w:tcW w:type="dxa" w:w="1378"/>
          </w:tcPr>
          <w:p>
            <w:r/>
            <w:r>
              <w:rPr>
                <w:sz w:val="17"/>
              </w:rPr>
              <w:t>1,477,833</w:t>
            </w:r>
          </w:p>
        </w:tc>
      </w:tr>
    </w:tbl>
    <w:p>
      <w:pPr>
        <w:spacing w:after="40"/>
      </w:pPr>
    </w:p>
    <w:p>
      <w:pPr>
        <w:spacing w:after="140" w:line="271" w:lineRule="auto"/>
      </w:pPr>
      <w:r>
        <w:rPr>
          <w:i w:val="0"/>
          <w:color w:val="606060"/>
          <w:sz w:val="20"/>
        </w:rPr>
        <w:t>2023 is thin because GEDI was stored on the ISS from March 2023 to April 2024.</w:t>
      </w:r>
    </w:p>
    <w:tbl>
      <w:tblPr>
        <w:tblStyle w:val="LightGrid-Accent1"/>
        <w:tblW w:type="auto" w:w="0"/>
        <w:jc w:val="center"/>
        <w:tblLook w:firstColumn="1" w:firstRow="1" w:lastColumn="0" w:lastRow="0" w:noHBand="0" w:noVBand="1" w:val="04A0"/>
      </w:tblPr>
      <w:tblGrid>
        <w:gridCol w:w="1206"/>
        <w:gridCol w:w="1206"/>
        <w:gridCol w:w="1206"/>
        <w:gridCol w:w="1206"/>
        <w:gridCol w:w="1206"/>
        <w:gridCol w:w="1206"/>
        <w:gridCol w:w="1206"/>
        <w:gridCol w:w="1206"/>
      </w:tblGrid>
      <w:tr>
        <w:tc>
          <w:tcPr>
            <w:tcW w:type="dxa" w:w="1728"/>
          </w:tcPr>
          <w:p>
            <w:r/>
            <w:r>
              <w:rPr>
                <w:b/>
                <w:sz w:val="16"/>
              </w:rPr>
              <w:t>Region</w:t>
            </w:r>
          </w:p>
        </w:tc>
        <w:tc>
          <w:tcPr>
            <w:tcW w:type="dxa" w:w="2016"/>
          </w:tcPr>
          <w:p>
            <w:r/>
            <w:r>
              <w:rPr>
                <w:b/>
                <w:sz w:val="16"/>
              </w:rPr>
              <w:t>Box</w:t>
            </w:r>
          </w:p>
        </w:tc>
        <w:tc>
          <w:tcPr>
            <w:tcW w:type="dxa" w:w="936"/>
          </w:tcPr>
          <w:p>
            <w:r/>
            <w:r>
              <w:rPr>
                <w:b/>
                <w:sz w:val="16"/>
              </w:rPr>
              <w:t>Granules</w:t>
            </w:r>
          </w:p>
        </w:tc>
        <w:tc>
          <w:tcPr>
            <w:tcW w:type="dxa" w:w="1224"/>
          </w:tcPr>
          <w:p>
            <w:r/>
            <w:r>
              <w:rPr>
                <w:b/>
                <w:sz w:val="16"/>
              </w:rPr>
              <w:t>Footprints</w:t>
            </w:r>
          </w:p>
        </w:tc>
        <w:tc>
          <w:tcPr>
            <w:tcW w:type="dxa" w:w="1008"/>
          </w:tcPr>
          <w:p>
            <w:r/>
            <w:r>
              <w:rPr>
                <w:b/>
                <w:sz w:val="16"/>
              </w:rPr>
              <w:t>Median AGBD</w:t>
            </w:r>
          </w:p>
        </w:tc>
        <w:tc>
          <w:tcPr>
            <w:tcW w:type="dxa" w:w="1080"/>
          </w:tcPr>
          <w:p>
            <w:r/>
            <w:r>
              <w:rPr>
                <w:b/>
                <w:sz w:val="16"/>
              </w:rPr>
              <w:t>% evergreen broadleaf</w:t>
            </w:r>
          </w:p>
        </w:tc>
        <w:tc>
          <w:tcPr>
            <w:tcW w:type="dxa" w:w="1080"/>
          </w:tcPr>
          <w:p>
            <w:r/>
            <w:r>
              <w:rPr>
                <w:b/>
                <w:sz w:val="16"/>
              </w:rPr>
              <w:t>Cells ≥ 30 (all)</w:t>
            </w:r>
          </w:p>
        </w:tc>
        <w:tc>
          <w:tcPr>
            <w:tcW w:type="dxa" w:w="1080"/>
          </w:tcPr>
          <w:p>
            <w:r/>
            <w:r>
              <w:rPr>
                <w:b/>
                <w:sz w:val="16"/>
              </w:rPr>
              <w:t>Cells ≥ 30 (unburnt)</w:t>
            </w:r>
          </w:p>
        </w:tc>
      </w:tr>
      <w:tr>
        <w:tc>
          <w:tcPr>
            <w:tcW w:type="dxa" w:w="1728"/>
          </w:tcPr>
          <w:p>
            <w:r/>
            <w:r>
              <w:rPr>
                <w:sz w:val="16"/>
              </w:rPr>
              <w:t>vic_central</w:t>
            </w:r>
          </w:p>
        </w:tc>
        <w:tc>
          <w:tcPr>
            <w:tcW w:type="dxa" w:w="2016"/>
          </w:tcPr>
          <w:p>
            <w:r/>
            <w:r>
              <w:rPr>
                <w:sz w:val="16"/>
              </w:rPr>
              <w:t>145.0-146.5°E, 37.0-38.0°S</w:t>
            </w:r>
          </w:p>
        </w:tc>
        <w:tc>
          <w:tcPr>
            <w:tcW w:type="dxa" w:w="936"/>
          </w:tcPr>
          <w:p>
            <w:r/>
            <w:r>
              <w:rPr>
                <w:sz w:val="16"/>
              </w:rPr>
              <w:t>282</w:t>
            </w:r>
          </w:p>
        </w:tc>
        <w:tc>
          <w:tcPr>
            <w:tcW w:type="dxa" w:w="1224"/>
          </w:tcPr>
          <w:p>
            <w:r/>
            <w:r>
              <w:rPr>
                <w:sz w:val="16"/>
              </w:rPr>
              <w:t>801,459</w:t>
            </w:r>
          </w:p>
        </w:tc>
        <w:tc>
          <w:tcPr>
            <w:tcW w:type="dxa" w:w="1008"/>
          </w:tcPr>
          <w:p>
            <w:r/>
            <w:r>
              <w:rPr>
                <w:sz w:val="16"/>
              </w:rPr>
              <w:t>119.9</w:t>
            </w:r>
          </w:p>
        </w:tc>
        <w:tc>
          <w:tcPr>
            <w:tcW w:type="dxa" w:w="1080"/>
          </w:tcPr>
          <w:p>
            <w:r/>
            <w:r>
              <w:rPr>
                <w:sz w:val="16"/>
              </w:rPr>
              <w:t>78.9</w:t>
            </w:r>
          </w:p>
        </w:tc>
        <w:tc>
          <w:tcPr>
            <w:tcW w:type="dxa" w:w="1080"/>
          </w:tcPr>
          <w:p>
            <w:r/>
            <w:r>
              <w:rPr>
                <w:sz w:val="16"/>
              </w:rPr>
              <w:t>10,901</w:t>
            </w:r>
          </w:p>
        </w:tc>
        <w:tc>
          <w:tcPr>
            <w:tcW w:type="dxa" w:w="1080"/>
          </w:tcPr>
          <w:p>
            <w:r/>
            <w:r>
              <w:rPr>
                <w:sz w:val="16"/>
              </w:rPr>
              <w:t>10,450</w:t>
            </w:r>
          </w:p>
        </w:tc>
      </w:tr>
      <w:tr>
        <w:tc>
          <w:tcPr>
            <w:tcW w:type="dxa" w:w="1728"/>
          </w:tcPr>
          <w:p>
            <w:r/>
            <w:r>
              <w:rPr>
                <w:sz w:val="16"/>
              </w:rPr>
              <w:t>vic_gippsland</w:t>
            </w:r>
          </w:p>
        </w:tc>
        <w:tc>
          <w:tcPr>
            <w:tcW w:type="dxa" w:w="2016"/>
          </w:tcPr>
          <w:p>
            <w:r/>
            <w:r>
              <w:rPr>
                <w:sz w:val="16"/>
              </w:rPr>
              <w:t>147.5-149.5°E, 36.8-38.2°S</w:t>
            </w:r>
          </w:p>
        </w:tc>
        <w:tc>
          <w:tcPr>
            <w:tcW w:type="dxa" w:w="936"/>
          </w:tcPr>
          <w:p>
            <w:r/>
            <w:r>
              <w:rPr>
                <w:sz w:val="16"/>
              </w:rPr>
              <w:t>250</w:t>
            </w:r>
          </w:p>
        </w:tc>
        <w:tc>
          <w:tcPr>
            <w:tcW w:type="dxa" w:w="1224"/>
          </w:tcPr>
          <w:p>
            <w:r/>
            <w:r>
              <w:rPr>
                <w:sz w:val="16"/>
              </w:rPr>
              <w:t>640,667</w:t>
            </w:r>
          </w:p>
        </w:tc>
        <w:tc>
          <w:tcPr>
            <w:tcW w:type="dxa" w:w="1008"/>
          </w:tcPr>
          <w:p>
            <w:r/>
            <w:r>
              <w:rPr>
                <w:sz w:val="16"/>
              </w:rPr>
              <w:t>81.6</w:t>
            </w:r>
          </w:p>
        </w:tc>
        <w:tc>
          <w:tcPr>
            <w:tcW w:type="dxa" w:w="1080"/>
          </w:tcPr>
          <w:p>
            <w:r/>
            <w:r>
              <w:rPr>
                <w:sz w:val="16"/>
              </w:rPr>
              <w:t>56.7</w:t>
            </w:r>
          </w:p>
        </w:tc>
        <w:tc>
          <w:tcPr>
            <w:tcW w:type="dxa" w:w="1080"/>
          </w:tcPr>
          <w:p>
            <w:r/>
            <w:r>
              <w:rPr>
                <w:sz w:val="16"/>
              </w:rPr>
              <w:t>9,413</w:t>
            </w:r>
          </w:p>
        </w:tc>
        <w:tc>
          <w:tcPr>
            <w:tcW w:type="dxa" w:w="1080"/>
          </w:tcPr>
          <w:p>
            <w:r/>
            <w:r>
              <w:rPr>
                <w:sz w:val="16"/>
              </w:rPr>
              <w:t>5,156</w:t>
            </w:r>
          </w:p>
        </w:tc>
      </w:tr>
      <w:tr>
        <w:tc>
          <w:tcPr>
            <w:tcW w:type="dxa" w:w="1728"/>
          </w:tcPr>
          <w:p>
            <w:r/>
            <w:r>
              <w:rPr>
                <w:sz w:val="16"/>
              </w:rPr>
              <w:t>tasmania</w:t>
            </w:r>
          </w:p>
        </w:tc>
        <w:tc>
          <w:tcPr>
            <w:tcW w:type="dxa" w:w="2016"/>
          </w:tcPr>
          <w:p>
            <w:r/>
            <w:r>
              <w:rPr>
                <w:sz w:val="16"/>
              </w:rPr>
              <w:t>144.5-148.5°E, 40.5-43.7°S</w:t>
            </w:r>
          </w:p>
        </w:tc>
        <w:tc>
          <w:tcPr>
            <w:tcW w:type="dxa" w:w="936"/>
          </w:tcPr>
          <w:p>
            <w:r/>
            <w:r>
              <w:rPr>
                <w:sz w:val="16"/>
              </w:rPr>
              <w:t>702</w:t>
            </w:r>
          </w:p>
        </w:tc>
        <w:tc>
          <w:tcPr>
            <w:tcW w:type="dxa" w:w="1224"/>
          </w:tcPr>
          <w:p>
            <w:r/>
            <w:r>
              <w:rPr>
                <w:sz w:val="16"/>
              </w:rPr>
              <w:t>2,668,146</w:t>
            </w:r>
          </w:p>
        </w:tc>
        <w:tc>
          <w:tcPr>
            <w:tcW w:type="dxa" w:w="1008"/>
          </w:tcPr>
          <w:p>
            <w:r/>
            <w:r>
              <w:rPr>
                <w:sz w:val="16"/>
              </w:rPr>
              <w:t>55.3</w:t>
            </w:r>
          </w:p>
        </w:tc>
        <w:tc>
          <w:tcPr>
            <w:tcW w:type="dxa" w:w="1080"/>
          </w:tcPr>
          <w:p>
            <w:r/>
            <w:r>
              <w:rPr>
                <w:sz w:val="16"/>
              </w:rPr>
              <w:t>84.8</w:t>
            </w:r>
          </w:p>
        </w:tc>
        <w:tc>
          <w:tcPr>
            <w:tcW w:type="dxa" w:w="1080"/>
          </w:tcPr>
          <w:p>
            <w:r/>
            <w:r>
              <w:rPr>
                <w:sz w:val="16"/>
              </w:rPr>
              <w:t>38,352</w:t>
            </w:r>
          </w:p>
        </w:tc>
        <w:tc>
          <w:tcPr>
            <w:tcW w:type="dxa" w:w="1080"/>
          </w:tcPr>
          <w:p>
            <w:r/>
            <w:r>
              <w:rPr>
                <w:sz w:val="16"/>
              </w:rPr>
              <w:t>36,072</w:t>
            </w:r>
          </w:p>
        </w:tc>
      </w:tr>
      <w:tr>
        <w:tc>
          <w:tcPr>
            <w:tcW w:type="dxa" w:w="1728"/>
          </w:tcPr>
          <w:p>
            <w:r/>
            <w:r>
              <w:rPr>
                <w:sz w:val="16"/>
              </w:rPr>
              <w:t>nsw_southeast</w:t>
            </w:r>
          </w:p>
        </w:tc>
        <w:tc>
          <w:tcPr>
            <w:tcW w:type="dxa" w:w="2016"/>
          </w:tcPr>
          <w:p>
            <w:r/>
            <w:r>
              <w:rPr>
                <w:sz w:val="16"/>
              </w:rPr>
              <w:t>149.5-152.0°E, 33.0-37.5°S</w:t>
            </w:r>
          </w:p>
        </w:tc>
        <w:tc>
          <w:tcPr>
            <w:tcW w:type="dxa" w:w="936"/>
          </w:tcPr>
          <w:p>
            <w:r/>
            <w:r>
              <w:rPr>
                <w:sz w:val="16"/>
              </w:rPr>
              <w:t>618</w:t>
            </w:r>
          </w:p>
        </w:tc>
        <w:tc>
          <w:tcPr>
            <w:tcW w:type="dxa" w:w="1224"/>
          </w:tcPr>
          <w:p>
            <w:r/>
            <w:r>
              <w:rPr>
                <w:sz w:val="16"/>
              </w:rPr>
              <w:t>2,224,494</w:t>
            </w:r>
          </w:p>
        </w:tc>
        <w:tc>
          <w:tcPr>
            <w:tcW w:type="dxa" w:w="1008"/>
          </w:tcPr>
          <w:p>
            <w:r/>
            <w:r>
              <w:rPr>
                <w:sz w:val="16"/>
              </w:rPr>
              <w:t>73.2</w:t>
            </w:r>
          </w:p>
        </w:tc>
        <w:tc>
          <w:tcPr>
            <w:tcW w:type="dxa" w:w="1080"/>
          </w:tcPr>
          <w:p>
            <w:r/>
            <w:r>
              <w:rPr>
                <w:sz w:val="16"/>
              </w:rPr>
              <w:t>72.3</w:t>
            </w:r>
          </w:p>
        </w:tc>
        <w:tc>
          <w:tcPr>
            <w:tcW w:type="dxa" w:w="1080"/>
          </w:tcPr>
          <w:p>
            <w:r/>
            <w:r>
              <w:rPr>
                <w:sz w:val="16"/>
              </w:rPr>
              <w:t>31,724</w:t>
            </w:r>
          </w:p>
        </w:tc>
        <w:tc>
          <w:tcPr>
            <w:tcW w:type="dxa" w:w="1080"/>
          </w:tcPr>
          <w:p>
            <w:r/>
            <w:r>
              <w:rPr>
                <w:sz w:val="16"/>
              </w:rPr>
              <w:t>19,266</w:t>
            </w:r>
          </w:p>
        </w:tc>
      </w:tr>
      <w:tr>
        <w:tc>
          <w:tcPr>
            <w:tcW w:type="dxa" w:w="1728"/>
          </w:tcPr>
          <w:p>
            <w:r/>
            <w:r>
              <w:rPr>
                <w:sz w:val="16"/>
              </w:rPr>
              <w:t>nsw_north_seqld</w:t>
            </w:r>
          </w:p>
        </w:tc>
        <w:tc>
          <w:tcPr>
            <w:tcW w:type="dxa" w:w="2016"/>
          </w:tcPr>
          <w:p>
            <w:r/>
            <w:r>
              <w:rPr>
                <w:sz w:val="16"/>
              </w:rPr>
              <w:t>151.5-153.5°E, 28.0-33.0°S</w:t>
            </w:r>
          </w:p>
        </w:tc>
        <w:tc>
          <w:tcPr>
            <w:tcW w:type="dxa" w:w="936"/>
          </w:tcPr>
          <w:p>
            <w:r/>
            <w:r>
              <w:rPr>
                <w:sz w:val="16"/>
              </w:rPr>
              <w:t>617</w:t>
            </w:r>
          </w:p>
        </w:tc>
        <w:tc>
          <w:tcPr>
            <w:tcW w:type="dxa" w:w="1224"/>
          </w:tcPr>
          <w:p>
            <w:r/>
            <w:r>
              <w:rPr>
                <w:sz w:val="16"/>
              </w:rPr>
              <w:t>3,536,260</w:t>
            </w:r>
          </w:p>
        </w:tc>
        <w:tc>
          <w:tcPr>
            <w:tcW w:type="dxa" w:w="1008"/>
          </w:tcPr>
          <w:p>
            <w:r/>
            <w:r>
              <w:rPr>
                <w:sz w:val="16"/>
              </w:rPr>
              <w:t>80.1</w:t>
            </w:r>
          </w:p>
        </w:tc>
        <w:tc>
          <w:tcPr>
            <w:tcW w:type="dxa" w:w="1080"/>
          </w:tcPr>
          <w:p>
            <w:r/>
            <w:r>
              <w:rPr>
                <w:sz w:val="16"/>
              </w:rPr>
              <w:t>78.3</w:t>
            </w:r>
          </w:p>
        </w:tc>
        <w:tc>
          <w:tcPr>
            <w:tcW w:type="dxa" w:w="1080"/>
          </w:tcPr>
          <w:p>
            <w:r/>
            <w:r>
              <w:rPr>
                <w:sz w:val="16"/>
              </w:rPr>
              <w:t>50,553</w:t>
            </w:r>
          </w:p>
        </w:tc>
        <w:tc>
          <w:tcPr>
            <w:tcW w:type="dxa" w:w="1080"/>
          </w:tcPr>
          <w:p>
            <w:r/>
            <w:r>
              <w:rPr>
                <w:sz w:val="16"/>
              </w:rPr>
              <w:t>36,374</w:t>
            </w:r>
          </w:p>
        </w:tc>
      </w:tr>
      <w:tr>
        <w:tc>
          <w:tcPr>
            <w:tcW w:type="dxa" w:w="1728"/>
          </w:tcPr>
          <w:p>
            <w:r/>
            <w:r>
              <w:rPr>
                <w:sz w:val="16"/>
              </w:rPr>
              <w:t>wa_southwest</w:t>
            </w:r>
          </w:p>
        </w:tc>
        <w:tc>
          <w:tcPr>
            <w:tcW w:type="dxa" w:w="2016"/>
          </w:tcPr>
          <w:p>
            <w:r/>
            <w:r>
              <w:rPr>
                <w:sz w:val="16"/>
              </w:rPr>
              <w:t>115.5-118.0°E, 33.0-35.2°S</w:t>
            </w:r>
          </w:p>
        </w:tc>
        <w:tc>
          <w:tcPr>
            <w:tcW w:type="dxa" w:w="936"/>
          </w:tcPr>
          <w:p>
            <w:r/>
            <w:r>
              <w:rPr>
                <w:sz w:val="16"/>
              </w:rPr>
              <w:t>450</w:t>
            </w:r>
          </w:p>
        </w:tc>
        <w:tc>
          <w:tcPr>
            <w:tcW w:type="dxa" w:w="1224"/>
          </w:tcPr>
          <w:p>
            <w:r/>
            <w:r>
              <w:rPr>
                <w:sz w:val="16"/>
              </w:rPr>
              <w:t>2,470,099</w:t>
            </w:r>
          </w:p>
        </w:tc>
        <w:tc>
          <w:tcPr>
            <w:tcW w:type="dxa" w:w="1008"/>
          </w:tcPr>
          <w:p>
            <w:r/>
            <w:r>
              <w:rPr>
                <w:sz w:val="16"/>
              </w:rPr>
              <w:t>5.7</w:t>
            </w:r>
          </w:p>
        </w:tc>
        <w:tc>
          <w:tcPr>
            <w:tcW w:type="dxa" w:w="1080"/>
          </w:tcPr>
          <w:p>
            <w:r/>
            <w:r>
              <w:rPr>
                <w:sz w:val="16"/>
              </w:rPr>
              <w:t>43.8</w:t>
            </w:r>
          </w:p>
        </w:tc>
        <w:tc>
          <w:tcPr>
            <w:tcW w:type="dxa" w:w="1080"/>
          </w:tcPr>
          <w:p>
            <w:r/>
            <w:r>
              <w:rPr>
                <w:sz w:val="16"/>
              </w:rPr>
              <w:t>33,847</w:t>
            </w:r>
          </w:p>
        </w:tc>
        <w:tc>
          <w:tcPr>
            <w:tcW w:type="dxa" w:w="1080"/>
          </w:tcPr>
          <w:p>
            <w:r/>
            <w:r>
              <w:rPr>
                <w:sz w:val="16"/>
              </w:rPr>
              <w:t>26,111</w:t>
            </w:r>
          </w:p>
        </w:tc>
      </w:tr>
    </w:tbl>
    <w:p>
      <w:pPr>
        <w:spacing w:after="40"/>
      </w:pPr>
    </w:p>
    <w:p>
      <w:pPr>
        <w:spacing w:after="140" w:line="271" w:lineRule="auto"/>
      </w:pPr>
      <w:r>
        <w:rPr>
          <w:i w:val="0"/>
          <w:color w:val="1A1A1A"/>
          <w:sz w:val="21"/>
        </w:rPr>
        <w:t>Fire: burnt within 10 years of acquisition: 23.0% of footprints; in a 2019-20 fire footprint 16.8%. Excluding burnt footprints leaves 133,429 cells with ≥ 30 footprints, against 174,790 without the exclusion. The loss is uneven: vic_gippsland loses 45.2% of its cells and nsw_southeast 39.3%, both largely to Black Summer, while vic_central loses 4.1%. Black Saturday (2009) falls outside the 10-year window for footprints after 2019.</w:t>
      </w:r>
    </w:p>
    <w:p>
      <w:pPr>
        <w:pStyle w:val="Heading2"/>
      </w:pPr>
      <w:r>
        <w:rPr>
          <w:color w:val="0B3D62"/>
        </w:rPr>
        <w:t>4.2 Both layers against GEDI</w:t>
      </w:r>
    </w:p>
    <w:tbl>
      <w:tblPr>
        <w:tblStyle w:val="LightGrid-Accent1"/>
        <w:tblW w:type="auto" w:w="0"/>
        <w:jc w:val="center"/>
        <w:tblLook w:firstColumn="1" w:firstRow="1" w:lastColumn="0" w:lastRow="0" w:noHBand="0" w:noVBand="1" w:val="04A0"/>
      </w:tblPr>
      <w:tblGrid>
        <w:gridCol w:w="1930"/>
        <w:gridCol w:w="1930"/>
        <w:gridCol w:w="1930"/>
        <w:gridCol w:w="1930"/>
        <w:gridCol w:w="1930"/>
      </w:tblGrid>
      <w:tr>
        <w:tc>
          <w:tcPr>
            <w:tcW w:type="dxa" w:w="3312"/>
          </w:tcPr>
          <w:p>
            <w:r/>
            <w:r>
              <w:rPr>
                <w:b/>
                <w:sz w:val="17"/>
              </w:rPr>
            </w:r>
          </w:p>
        </w:tc>
        <w:tc>
          <w:tcPr>
            <w:tcW w:type="dxa" w:w="1584"/>
          </w:tcPr>
          <w:p>
            <w:r/>
            <w:r>
              <w:rPr>
                <w:b/>
                <w:sz w:val="17"/>
              </w:rPr>
              <w:t>New_M_2019 all</w:t>
            </w:r>
          </w:p>
        </w:tc>
        <w:tc>
          <w:tcPr>
            <w:tcW w:type="dxa" w:w="1584"/>
          </w:tcPr>
          <w:p>
            <w:r/>
            <w:r>
              <w:rPr>
                <w:b/>
                <w:sz w:val="17"/>
              </w:rPr>
              <w:t>New_M_2019 unburnt</w:t>
            </w:r>
          </w:p>
        </w:tc>
        <w:tc>
          <w:tcPr>
            <w:tcW w:type="dxa" w:w="1584"/>
          </w:tcPr>
          <w:p>
            <w:r/>
            <w:r>
              <w:rPr>
                <w:b/>
                <w:sz w:val="17"/>
              </w:rPr>
              <w:t>baseline all</w:t>
            </w:r>
          </w:p>
        </w:tc>
        <w:tc>
          <w:tcPr>
            <w:tcW w:type="dxa" w:w="1584"/>
          </w:tcPr>
          <w:p>
            <w:r/>
            <w:r>
              <w:rPr>
                <w:b/>
                <w:sz w:val="17"/>
              </w:rPr>
              <w:t>baseline unburnt</w:t>
            </w:r>
          </w:p>
        </w:tc>
      </w:tr>
      <w:tr>
        <w:tc>
          <w:tcPr>
            <w:tcW w:type="dxa" w:w="3312"/>
          </w:tcPr>
          <w:p>
            <w:r/>
            <w:r>
              <w:rPr>
                <w:sz w:val="17"/>
              </w:rPr>
              <w:t>Cells</w:t>
            </w:r>
          </w:p>
        </w:tc>
        <w:tc>
          <w:tcPr>
            <w:tcW w:type="dxa" w:w="1584"/>
          </w:tcPr>
          <w:p>
            <w:r/>
            <w:r>
              <w:rPr>
                <w:sz w:val="17"/>
              </w:rPr>
              <w:t>174,790</w:t>
            </w:r>
          </w:p>
        </w:tc>
        <w:tc>
          <w:tcPr>
            <w:tcW w:type="dxa" w:w="1584"/>
          </w:tcPr>
          <w:p>
            <w:r/>
            <w:r>
              <w:rPr>
                <w:sz w:val="17"/>
              </w:rPr>
              <w:t>133,429</w:t>
            </w:r>
          </w:p>
        </w:tc>
        <w:tc>
          <w:tcPr>
            <w:tcW w:type="dxa" w:w="1584"/>
          </w:tcPr>
          <w:p>
            <w:r/>
            <w:r>
              <w:rPr>
                <w:sz w:val="17"/>
              </w:rPr>
              <w:t>174,790</w:t>
            </w:r>
          </w:p>
        </w:tc>
        <w:tc>
          <w:tcPr>
            <w:tcW w:type="dxa" w:w="1584"/>
          </w:tcPr>
          <w:p>
            <w:r/>
            <w:r>
              <w:rPr>
                <w:sz w:val="17"/>
              </w:rPr>
              <w:t>133,429</w:t>
            </w:r>
          </w:p>
        </w:tc>
      </w:tr>
      <w:tr>
        <w:tc>
          <w:tcPr>
            <w:tcW w:type="dxa" w:w="3312"/>
          </w:tcPr>
          <w:p>
            <w:r/>
            <w:r>
              <w:rPr>
                <w:sz w:val="17"/>
              </w:rPr>
              <w:t>Median M′ (t DM/ha)</w:t>
            </w:r>
          </w:p>
        </w:tc>
        <w:tc>
          <w:tcPr>
            <w:tcW w:type="dxa" w:w="1584"/>
          </w:tcPr>
          <w:p>
            <w:r/>
            <w:r>
              <w:rPr>
                <w:sz w:val="17"/>
              </w:rPr>
              <w:t>200.1</w:t>
            </w:r>
          </w:p>
        </w:tc>
        <w:tc>
          <w:tcPr>
            <w:tcW w:type="dxa" w:w="1584"/>
          </w:tcPr>
          <w:p>
            <w:r/>
            <w:r>
              <w:rPr>
                <w:sz w:val="17"/>
              </w:rPr>
              <w:t>189.7</w:t>
            </w:r>
          </w:p>
        </w:tc>
        <w:tc>
          <w:tcPr>
            <w:tcW w:type="dxa" w:w="1584"/>
          </w:tcPr>
          <w:p>
            <w:r/>
            <w:r>
              <w:rPr>
                <w:sz w:val="17"/>
              </w:rPr>
              <w:t>232.9</w:t>
            </w:r>
          </w:p>
        </w:tc>
        <w:tc>
          <w:tcPr>
            <w:tcW w:type="dxa" w:w="1584"/>
          </w:tcPr>
          <w:p>
            <w:r/>
            <w:r>
              <w:rPr>
                <w:sz w:val="17"/>
              </w:rPr>
              <w:t>223.2</w:t>
            </w:r>
          </w:p>
        </w:tc>
      </w:tr>
      <w:tr>
        <w:tc>
          <w:tcPr>
            <w:tcW w:type="dxa" w:w="3312"/>
          </w:tcPr>
          <w:p>
            <w:r/>
            <w:r>
              <w:rPr>
                <w:sz w:val="17"/>
              </w:rPr>
              <w:t>Median GEDI mean (t DM/ha)</w:t>
            </w:r>
          </w:p>
        </w:tc>
        <w:tc>
          <w:tcPr>
            <w:tcW w:type="dxa" w:w="1584"/>
          </w:tcPr>
          <w:p>
            <w:r/>
            <w:r>
              <w:rPr>
                <w:sz w:val="17"/>
              </w:rPr>
              <w:t>86.6</w:t>
            </w:r>
          </w:p>
        </w:tc>
        <w:tc>
          <w:tcPr>
            <w:tcW w:type="dxa" w:w="1584"/>
          </w:tcPr>
          <w:p>
            <w:r/>
            <w:r>
              <w:rPr>
                <w:sz w:val="17"/>
              </w:rPr>
              <w:t>70.9</w:t>
            </w:r>
          </w:p>
        </w:tc>
        <w:tc>
          <w:tcPr>
            <w:tcW w:type="dxa" w:w="1584"/>
          </w:tcPr>
          <w:p>
            <w:r/>
            <w:r>
              <w:rPr>
                <w:sz w:val="17"/>
              </w:rPr>
              <w:t>86.6</w:t>
            </w:r>
          </w:p>
        </w:tc>
        <w:tc>
          <w:tcPr>
            <w:tcW w:type="dxa" w:w="1584"/>
          </w:tcPr>
          <w:p>
            <w:r/>
            <w:r>
              <w:rPr>
                <w:sz w:val="17"/>
              </w:rPr>
              <w:t>70.9</w:t>
            </w:r>
          </w:p>
        </w:tc>
      </w:tr>
      <w:tr>
        <w:tc>
          <w:tcPr>
            <w:tcW w:type="dxa" w:w="3312"/>
          </w:tcPr>
          <w:p>
            <w:r/>
            <w:r>
              <w:rPr>
                <w:sz w:val="17"/>
              </w:rPr>
              <w:t>Median GEDI p95, n = 30</w:t>
            </w:r>
          </w:p>
        </w:tc>
        <w:tc>
          <w:tcPr>
            <w:tcW w:type="dxa" w:w="1584"/>
          </w:tcPr>
          <w:p>
            <w:r/>
            <w:r>
              <w:rPr>
                <w:sz w:val="17"/>
              </w:rPr>
              <w:t>229.2</w:t>
            </w:r>
          </w:p>
        </w:tc>
        <w:tc>
          <w:tcPr>
            <w:tcW w:type="dxa" w:w="1584"/>
          </w:tcPr>
          <w:p>
            <w:r/>
            <w:r>
              <w:rPr>
                <w:sz w:val="17"/>
              </w:rPr>
              <w:t>196.8</w:t>
            </w:r>
          </w:p>
        </w:tc>
        <w:tc>
          <w:tcPr>
            <w:tcW w:type="dxa" w:w="1584"/>
          </w:tcPr>
          <w:p>
            <w:r/>
            <w:r>
              <w:rPr>
                <w:sz w:val="17"/>
              </w:rPr>
              <w:t>229.2</w:t>
            </w:r>
          </w:p>
        </w:tc>
        <w:tc>
          <w:tcPr>
            <w:tcW w:type="dxa" w:w="1584"/>
          </w:tcPr>
          <w:p>
            <w:r/>
            <w:r>
              <w:rPr>
                <w:sz w:val="17"/>
              </w:rPr>
              <w:t>196.8</w:t>
            </w:r>
          </w:p>
        </w:tc>
      </w:tr>
      <w:tr>
        <w:tc>
          <w:tcPr>
            <w:tcW w:type="dxa" w:w="3312"/>
          </w:tcPr>
          <w:p>
            <w:r/>
            <w:r>
              <w:rPr>
                <w:sz w:val="17"/>
              </w:rPr>
              <w:t>Median GEDI p95 of lower bounds</w:t>
            </w:r>
          </w:p>
        </w:tc>
        <w:tc>
          <w:tcPr>
            <w:tcW w:type="dxa" w:w="1584"/>
          </w:tcPr>
          <w:p>
            <w:r/>
            <w:r>
              <w:rPr>
                <w:sz w:val="17"/>
              </w:rPr>
              <w:t>214.9</w:t>
            </w:r>
          </w:p>
        </w:tc>
        <w:tc>
          <w:tcPr>
            <w:tcW w:type="dxa" w:w="1584"/>
          </w:tcPr>
          <w:p>
            <w:r/>
            <w:r>
              <w:rPr>
                <w:sz w:val="17"/>
              </w:rPr>
              <w:t>183.5</w:t>
            </w:r>
          </w:p>
        </w:tc>
        <w:tc>
          <w:tcPr>
            <w:tcW w:type="dxa" w:w="1584"/>
          </w:tcPr>
          <w:p>
            <w:r/>
            <w:r>
              <w:rPr>
                <w:sz w:val="17"/>
              </w:rPr>
              <w:t>214.9</w:t>
            </w:r>
          </w:p>
        </w:tc>
        <w:tc>
          <w:tcPr>
            <w:tcW w:type="dxa" w:w="1584"/>
          </w:tcPr>
          <w:p>
            <w:r/>
            <w:r>
              <w:rPr>
                <w:sz w:val="17"/>
              </w:rPr>
              <w:t>183.5</w:t>
            </w:r>
          </w:p>
        </w:tc>
      </w:tr>
      <w:tr>
        <w:tc>
          <w:tcPr>
            <w:tcW w:type="dxa" w:w="3312"/>
          </w:tcPr>
          <w:p>
            <w:r/>
            <w:r>
              <w:rPr>
                <w:sz w:val="17"/>
              </w:rPr>
              <w:t>Median M′ / p95</w:t>
            </w:r>
          </w:p>
        </w:tc>
        <w:tc>
          <w:tcPr>
            <w:tcW w:type="dxa" w:w="1584"/>
          </w:tcPr>
          <w:p>
            <w:r/>
            <w:r>
              <w:rPr>
                <w:sz w:val="17"/>
              </w:rPr>
              <w:t>0.96</w:t>
            </w:r>
          </w:p>
        </w:tc>
        <w:tc>
          <w:tcPr>
            <w:tcW w:type="dxa" w:w="1584"/>
          </w:tcPr>
          <w:p>
            <w:r/>
            <w:r>
              <w:rPr>
                <w:sz w:val="17"/>
              </w:rPr>
              <w:t>1.05</w:t>
            </w:r>
          </w:p>
        </w:tc>
        <w:tc>
          <w:tcPr>
            <w:tcW w:type="dxa" w:w="1584"/>
          </w:tcPr>
          <w:p>
            <w:r/>
            <w:r>
              <w:rPr>
                <w:sz w:val="17"/>
              </w:rPr>
              <w:t>1.14</w:t>
            </w:r>
          </w:p>
        </w:tc>
        <w:tc>
          <w:tcPr>
            <w:tcW w:type="dxa" w:w="1584"/>
          </w:tcPr>
          <w:p>
            <w:r/>
            <w:r>
              <w:rPr>
                <w:sz w:val="17"/>
              </w:rPr>
              <w:t>1.26</w:t>
            </w:r>
          </w:p>
        </w:tc>
      </w:tr>
      <w:tr>
        <w:tc>
          <w:tcPr>
            <w:tcW w:type="dxa" w:w="3312"/>
          </w:tcPr>
          <w:p>
            <w:r/>
            <w:r>
              <w:rPr>
                <w:sz w:val="17"/>
              </w:rPr>
              <w:t>Spearman M′ vs mean</w:t>
            </w:r>
          </w:p>
        </w:tc>
        <w:tc>
          <w:tcPr>
            <w:tcW w:type="dxa" w:w="1584"/>
          </w:tcPr>
          <w:p>
            <w:r/>
            <w:r>
              <w:rPr>
                <w:sz w:val="17"/>
              </w:rPr>
              <w:t>0.52</w:t>
            </w:r>
          </w:p>
        </w:tc>
        <w:tc>
          <w:tcPr>
            <w:tcW w:type="dxa" w:w="1584"/>
          </w:tcPr>
          <w:p>
            <w:r/>
            <w:r>
              <w:rPr>
                <w:sz w:val="17"/>
              </w:rPr>
              <w:t>0.52</w:t>
            </w:r>
          </w:p>
        </w:tc>
        <w:tc>
          <w:tcPr>
            <w:tcW w:type="dxa" w:w="1584"/>
          </w:tcPr>
          <w:p>
            <w:r/>
            <w:r>
              <w:rPr>
                <w:sz w:val="17"/>
              </w:rPr>
              <w:t>0.52</w:t>
            </w:r>
          </w:p>
        </w:tc>
        <w:tc>
          <w:tcPr>
            <w:tcW w:type="dxa" w:w="1584"/>
          </w:tcPr>
          <w:p>
            <w:r/>
            <w:r>
              <w:rPr>
                <w:sz w:val="17"/>
              </w:rPr>
              <w:t>0.52</w:t>
            </w:r>
          </w:p>
        </w:tc>
      </w:tr>
      <w:tr>
        <w:tc>
          <w:tcPr>
            <w:tcW w:type="dxa" w:w="3312"/>
          </w:tcPr>
          <w:p>
            <w:r/>
            <w:r>
              <w:rPr>
                <w:sz w:val="17"/>
              </w:rPr>
              <w:t>Spearman M′ vs p95</w:t>
            </w:r>
          </w:p>
        </w:tc>
        <w:tc>
          <w:tcPr>
            <w:tcW w:type="dxa" w:w="1584"/>
          </w:tcPr>
          <w:p>
            <w:r/>
            <w:r>
              <w:rPr>
                <w:sz w:val="17"/>
              </w:rPr>
              <w:t>0.51</w:t>
            </w:r>
          </w:p>
        </w:tc>
        <w:tc>
          <w:tcPr>
            <w:tcW w:type="dxa" w:w="1584"/>
          </w:tcPr>
          <w:p>
            <w:r/>
            <w:r>
              <w:rPr>
                <w:sz w:val="17"/>
              </w:rPr>
              <w:t>0.52</w:t>
            </w:r>
          </w:p>
        </w:tc>
        <w:tc>
          <w:tcPr>
            <w:tcW w:type="dxa" w:w="1584"/>
          </w:tcPr>
          <w:p>
            <w:r/>
            <w:r>
              <w:rPr>
                <w:sz w:val="17"/>
              </w:rPr>
              <w:t>0.51</w:t>
            </w:r>
          </w:p>
        </w:tc>
        <w:tc>
          <w:tcPr>
            <w:tcW w:type="dxa" w:w="1584"/>
          </w:tcPr>
          <w:p>
            <w:r/>
            <w:r>
              <w:rPr>
                <w:sz w:val="17"/>
              </w:rPr>
              <w:t>0.52</w:t>
            </w:r>
          </w:p>
        </w:tc>
      </w:tr>
      <w:tr>
        <w:tc>
          <w:tcPr>
            <w:tcW w:type="dxa" w:w="3312"/>
          </w:tcPr>
          <w:p>
            <w:r/>
            <w:r>
              <w:rPr>
                <w:sz w:val="17"/>
              </w:rPr>
              <w:t>% cells mean &gt; M′</w:t>
            </w:r>
          </w:p>
        </w:tc>
        <w:tc>
          <w:tcPr>
            <w:tcW w:type="dxa" w:w="1584"/>
          </w:tcPr>
          <w:p>
            <w:r/>
            <w:r>
              <w:rPr>
                <w:sz w:val="17"/>
              </w:rPr>
              <w:t>18.6%</w:t>
            </w:r>
          </w:p>
        </w:tc>
        <w:tc>
          <w:tcPr>
            <w:tcW w:type="dxa" w:w="1584"/>
          </w:tcPr>
          <w:p>
            <w:r/>
            <w:r>
              <w:rPr>
                <w:sz w:val="17"/>
              </w:rPr>
              <w:t>16.7%</w:t>
            </w:r>
          </w:p>
        </w:tc>
        <w:tc>
          <w:tcPr>
            <w:tcW w:type="dxa" w:w="1584"/>
          </w:tcPr>
          <w:p>
            <w:r/>
            <w:r>
              <w:rPr>
                <w:sz w:val="17"/>
              </w:rPr>
              <w:t>14.3%</w:t>
            </w:r>
          </w:p>
        </w:tc>
        <w:tc>
          <w:tcPr>
            <w:tcW w:type="dxa" w:w="1584"/>
          </w:tcPr>
          <w:p>
            <w:r/>
            <w:r>
              <w:rPr>
                <w:sz w:val="17"/>
              </w:rPr>
              <w:t>12.8%</w:t>
            </w:r>
          </w:p>
        </w:tc>
      </w:tr>
      <w:tr>
        <w:tc>
          <w:tcPr>
            <w:tcW w:type="dxa" w:w="3312"/>
          </w:tcPr>
          <w:p>
            <w:r/>
            <w:r>
              <w:rPr>
                <w:sz w:val="17"/>
              </w:rPr>
              <w:t>% cells median &gt; M′</w:t>
            </w:r>
          </w:p>
        </w:tc>
        <w:tc>
          <w:tcPr>
            <w:tcW w:type="dxa" w:w="1584"/>
          </w:tcPr>
          <w:p>
            <w:r/>
            <w:r>
              <w:rPr>
                <w:sz w:val="17"/>
              </w:rPr>
              <w:t>14.1%</w:t>
            </w:r>
          </w:p>
        </w:tc>
        <w:tc>
          <w:tcPr>
            <w:tcW w:type="dxa" w:w="1584"/>
          </w:tcPr>
          <w:p>
            <w:r/>
            <w:r>
              <w:rPr>
                <w:sz w:val="17"/>
              </w:rPr>
              <w:t>12.7%</w:t>
            </w:r>
          </w:p>
        </w:tc>
        <w:tc>
          <w:tcPr>
            <w:tcW w:type="dxa" w:w="1584"/>
          </w:tcPr>
          <w:p>
            <w:r/>
            <w:r>
              <w:rPr>
                <w:sz w:val="17"/>
              </w:rPr>
              <w:t>10.8%</w:t>
            </w:r>
          </w:p>
        </w:tc>
        <w:tc>
          <w:tcPr>
            <w:tcW w:type="dxa" w:w="1584"/>
          </w:tcPr>
          <w:p>
            <w:r/>
            <w:r>
              <w:rPr>
                <w:sz w:val="17"/>
              </w:rPr>
              <w:t>9.8%</w:t>
            </w:r>
          </w:p>
        </w:tc>
      </w:tr>
      <w:tr>
        <w:tc>
          <w:tcPr>
            <w:tcW w:type="dxa" w:w="3312"/>
          </w:tcPr>
          <w:p>
            <w:r/>
            <w:r>
              <w:rPr>
                <w:sz w:val="17"/>
              </w:rPr>
              <w:t>% cells p95 lower bound &gt; M′</w:t>
            </w:r>
          </w:p>
        </w:tc>
        <w:tc>
          <w:tcPr>
            <w:tcW w:type="dxa" w:w="1584"/>
          </w:tcPr>
          <w:p>
            <w:r/>
            <w:r>
              <w:rPr>
                <w:sz w:val="17"/>
              </w:rPr>
              <w:t>49.1%</w:t>
            </w:r>
          </w:p>
        </w:tc>
        <w:tc>
          <w:tcPr>
            <w:tcW w:type="dxa" w:w="1584"/>
          </w:tcPr>
          <w:p>
            <w:r/>
            <w:r>
              <w:rPr>
                <w:sz w:val="17"/>
              </w:rPr>
              <w:t>45.6%</w:t>
            </w:r>
          </w:p>
        </w:tc>
        <w:tc>
          <w:tcPr>
            <w:tcW w:type="dxa" w:w="1584"/>
          </w:tcPr>
          <w:p>
            <w:r/>
            <w:r>
              <w:rPr>
                <w:sz w:val="17"/>
              </w:rPr>
              <w:t>42.7%</w:t>
            </w:r>
          </w:p>
        </w:tc>
        <w:tc>
          <w:tcPr>
            <w:tcW w:type="dxa" w:w="1584"/>
          </w:tcPr>
          <w:p>
            <w:r/>
            <w:r>
              <w:rPr>
                <w:sz w:val="17"/>
              </w:rPr>
              <w:t>38.8%</w:t>
            </w:r>
          </w:p>
        </w:tc>
      </w:tr>
      <w:tr>
        <w:tc>
          <w:tcPr>
            <w:tcW w:type="dxa" w:w="3312"/>
          </w:tcPr>
          <w:p>
            <w:r/>
            <w:r>
              <w:rPr>
                <w:sz w:val="17"/>
              </w:rPr>
              <w:t>% cells p95 (n = 30) &gt; M′</w:t>
            </w:r>
          </w:p>
        </w:tc>
        <w:tc>
          <w:tcPr>
            <w:tcW w:type="dxa" w:w="1584"/>
          </w:tcPr>
          <w:p>
            <w:r/>
            <w:r>
              <w:rPr>
                <w:sz w:val="17"/>
              </w:rPr>
              <w:t>51.6%</w:t>
            </w:r>
          </w:p>
        </w:tc>
        <w:tc>
          <w:tcPr>
            <w:tcW w:type="dxa" w:w="1584"/>
          </w:tcPr>
          <w:p>
            <w:r/>
            <w:r>
              <w:rPr>
                <w:sz w:val="17"/>
              </w:rPr>
              <w:t>48.1%</w:t>
            </w:r>
          </w:p>
        </w:tc>
        <w:tc>
          <w:tcPr>
            <w:tcW w:type="dxa" w:w="1584"/>
          </w:tcPr>
          <w:p>
            <w:r/>
            <w:r>
              <w:rPr>
                <w:sz w:val="17"/>
              </w:rPr>
              <w:t>44.9%</w:t>
            </w:r>
          </w:p>
        </w:tc>
        <w:tc>
          <w:tcPr>
            <w:tcW w:type="dxa" w:w="1584"/>
          </w:tcPr>
          <w:p>
            <w:r/>
            <w:r>
              <w:rPr>
                <w:sz w:val="17"/>
              </w:rPr>
              <w:t>41.0%</w:t>
            </w:r>
          </w:p>
        </w:tc>
      </w:tr>
      <w:tr>
        <w:tc>
          <w:tcPr>
            <w:tcW w:type="dxa" w:w="3312"/>
          </w:tcPr>
          <w:p>
            <w:r/>
            <w:r>
              <w:rPr>
                <w:sz w:val="17"/>
              </w:rPr>
              <w:t>% cells naive p95 &gt; M′</w:t>
            </w:r>
          </w:p>
        </w:tc>
        <w:tc>
          <w:tcPr>
            <w:tcW w:type="dxa" w:w="1584"/>
          </w:tcPr>
          <w:p>
            <w:r/>
            <w:r>
              <w:rPr>
                <w:sz w:val="17"/>
              </w:rPr>
              <w:t>52.7%</w:t>
            </w:r>
          </w:p>
        </w:tc>
        <w:tc>
          <w:tcPr>
            <w:tcW w:type="dxa" w:w="1584"/>
          </w:tcPr>
          <w:p>
            <w:r/>
            <w:r>
              <w:rPr>
                <w:sz w:val="17"/>
              </w:rPr>
              <w:t>49.3%</w:t>
            </w:r>
          </w:p>
        </w:tc>
        <w:tc>
          <w:tcPr>
            <w:tcW w:type="dxa" w:w="1584"/>
          </w:tcPr>
          <w:p>
            <w:r/>
            <w:r>
              <w:rPr>
                <w:sz w:val="17"/>
              </w:rPr>
              <w:t>46.0%</w:t>
            </w:r>
          </w:p>
        </w:tc>
        <w:tc>
          <w:tcPr>
            <w:tcW w:type="dxa" w:w="1584"/>
          </w:tcPr>
          <w:p>
            <w:r/>
            <w:r>
              <w:rPr>
                <w:sz w:val="17"/>
              </w:rPr>
              <w:t>42.1%</w:t>
            </w:r>
          </w:p>
        </w:tc>
      </w:tr>
      <w:tr>
        <w:tc>
          <w:tcPr>
            <w:tcW w:type="dxa" w:w="3312"/>
          </w:tcPr>
          <w:p>
            <w:r/>
            <w:r>
              <w:rPr>
                <w:sz w:val="17"/>
              </w:rPr>
              <w:t>% cells p99 &gt; M′ (n ≥ 100)</w:t>
            </w:r>
          </w:p>
        </w:tc>
        <w:tc>
          <w:tcPr>
            <w:tcW w:type="dxa" w:w="1584"/>
          </w:tcPr>
          <w:p>
            <w:r/>
            <w:r>
              <w:rPr>
                <w:sz w:val="17"/>
              </w:rPr>
              <w:t>68.6%</w:t>
            </w:r>
          </w:p>
        </w:tc>
        <w:tc>
          <w:tcPr>
            <w:tcW w:type="dxa" w:w="1584"/>
          </w:tcPr>
          <w:p>
            <w:r/>
            <w:r>
              <w:rPr>
                <w:sz w:val="17"/>
              </w:rPr>
              <w:t>67.1%</w:t>
            </w:r>
          </w:p>
        </w:tc>
        <w:tc>
          <w:tcPr>
            <w:tcW w:type="dxa" w:w="1584"/>
          </w:tcPr>
          <w:p>
            <w:r/>
            <w:r>
              <w:rPr>
                <w:sz w:val="17"/>
              </w:rPr>
              <w:t>60.8%</w:t>
            </w:r>
          </w:p>
        </w:tc>
        <w:tc>
          <w:tcPr>
            <w:tcW w:type="dxa" w:w="1584"/>
          </w:tcPr>
          <w:p>
            <w:r/>
            <w:r>
              <w:rPr>
                <w:sz w:val="17"/>
              </w:rPr>
              <w:t>58.3%</w:t>
            </w:r>
          </w:p>
        </w:tc>
      </w:tr>
    </w:tbl>
    <w:p>
      <w:pPr>
        <w:spacing w:after="40"/>
      </w:pPr>
    </w:p>
    <w:p>
      <w:pPr>
        <w:spacing w:after="140" w:line="271" w:lineRule="auto"/>
      </w:pPr>
      <w:r>
        <w:rPr>
          <w:i w:val="0"/>
          <w:color w:val="1A1A1A"/>
          <w:sz w:val="21"/>
        </w:rPr>
        <w:t>Read down the rows from the strictest statistic to the weakest. The mean row is the most damaging to M′: a 1 km cell cannot average more than its maximum unless the maximum is too low or GEDI reads too high. The naive p95 and p99 rows are shown only to demonstrate the inflation that the fixed-n statistic removes; do not quote them. Fire exclusion removes a quarter of the cells but moves the p95 exceedance rate by only 3.5 percentage points (51.6% to 48.1% for New_M_2019).</w:t>
      </w:r>
    </w:p>
    <w:p>
      <w:pPr>
        <w:jc w:val="center"/>
      </w:pPr>
      <w:r>
        <w:drawing>
          <wp:inline xmlns:a="http://schemas.openxmlformats.org/drawingml/2006/main" xmlns:pic="http://schemas.openxmlformats.org/drawingml/2006/picture">
            <wp:extent cx="5760720" cy="3157005"/>
            <wp:docPr id="1" name="Picture 1"/>
            <wp:cNvGraphicFramePr>
              <a:graphicFrameLocks noChangeAspect="1"/>
            </wp:cNvGraphicFramePr>
            <a:graphic>
              <a:graphicData uri="http://schemas.openxmlformats.org/drawingml/2006/picture">
                <pic:pic>
                  <pic:nvPicPr>
                    <pic:cNvPr id="0" name="fig1_p95_vs_Mprime_both_layers.png"/>
                    <pic:cNvPicPr/>
                  </pic:nvPicPr>
                  <pic:blipFill>
                    <a:blip r:embed="rId9"/>
                    <a:stretch>
                      <a:fillRect/>
                    </a:stretch>
                  </pic:blipFill>
                  <pic:spPr>
                    <a:xfrm>
                      <a:off x="0" y="0"/>
                      <a:ext cx="5760720" cy="3157005"/>
                    </a:xfrm>
                    <a:prstGeom prst="rect"/>
                  </pic:spPr>
                </pic:pic>
              </a:graphicData>
            </a:graphic>
          </wp:inline>
        </w:drawing>
      </w:r>
    </w:p>
    <w:p>
      <w:pPr>
        <w:spacing w:after="240" w:line="271" w:lineRule="auto"/>
      </w:pPr>
      <w:r>
        <w:rPr>
          <w:i/>
          <w:color w:val="606060"/>
          <w:sz w:val="18"/>
        </w:rPr>
        <w:t>Figure 1. GEDI p95 (fixed n = 30) against M′ per NLUM cell, fire-excluded, log axes. Left New_M_2019, right baseline_M_1985-2014. Cells above the 1:1 line contradict M′.</w:t>
      </w:r>
    </w:p>
    <w:p>
      <w:pPr>
        <w:pStyle w:val="Heading2"/>
      </w:pPr>
      <w:r>
        <w:rPr>
          <w:color w:val="0B3D62"/>
        </w:rPr>
        <w:t>4.3 By productivity</w:t>
      </w:r>
    </w:p>
    <w:tbl>
      <w:tblPr>
        <w:tblStyle w:val="LightGrid-Accent1"/>
        <w:tblW w:type="auto" w:w="0"/>
        <w:jc w:val="center"/>
        <w:tblLook w:firstColumn="1" w:firstRow="1" w:lastColumn="0" w:lastRow="0" w:noHBand="0" w:noVBand="1" w:val="04A0"/>
      </w:tblPr>
      <w:tblGrid>
        <w:gridCol w:w="1072"/>
        <w:gridCol w:w="1072"/>
        <w:gridCol w:w="1072"/>
        <w:gridCol w:w="1072"/>
        <w:gridCol w:w="1072"/>
        <w:gridCol w:w="1072"/>
        <w:gridCol w:w="1072"/>
        <w:gridCol w:w="1072"/>
        <w:gridCol w:w="1072"/>
      </w:tblGrid>
      <w:tr>
        <w:tc>
          <w:tcPr>
            <w:tcW w:type="dxa" w:w="864"/>
          </w:tcPr>
          <w:p>
            <w:r/>
            <w:r>
              <w:rPr>
                <w:b/>
                <w:sz w:val="16"/>
              </w:rPr>
              <w:t>FPI</w:t>
            </w:r>
          </w:p>
        </w:tc>
        <w:tc>
          <w:tcPr>
            <w:tcW w:type="dxa" w:w="864"/>
          </w:tcPr>
          <w:p>
            <w:r/>
            <w:r>
              <w:rPr>
                <w:b/>
                <w:sz w:val="16"/>
              </w:rPr>
              <w:t>Cells</w:t>
            </w:r>
          </w:p>
        </w:tc>
        <w:tc>
          <w:tcPr>
            <w:tcW w:type="dxa" w:w="1080"/>
          </w:tcPr>
          <w:p>
            <w:r/>
            <w:r>
              <w:rPr>
                <w:b/>
                <w:sz w:val="16"/>
              </w:rPr>
              <w:t>GEDI p95</w:t>
            </w:r>
          </w:p>
        </w:tc>
        <w:tc>
          <w:tcPr>
            <w:tcW w:type="dxa" w:w="1008"/>
          </w:tcPr>
          <w:p>
            <w:r/>
            <w:r>
              <w:rPr>
                <w:b/>
                <w:sz w:val="16"/>
              </w:rPr>
              <w:t>M′ New</w:t>
            </w:r>
          </w:p>
        </w:tc>
        <w:tc>
          <w:tcPr>
            <w:tcW w:type="dxa" w:w="1008"/>
          </w:tcPr>
          <w:p>
            <w:r/>
            <w:r>
              <w:rPr>
                <w:b/>
                <w:sz w:val="16"/>
              </w:rPr>
              <w:t>M′ base</w:t>
            </w:r>
          </w:p>
        </w:tc>
        <w:tc>
          <w:tcPr>
            <w:tcW w:type="dxa" w:w="1224"/>
          </w:tcPr>
          <w:p>
            <w:r/>
            <w:r>
              <w:rPr>
                <w:b/>
                <w:sz w:val="16"/>
              </w:rPr>
              <w:t>p95&gt;M′ New</w:t>
            </w:r>
          </w:p>
        </w:tc>
        <w:tc>
          <w:tcPr>
            <w:tcW w:type="dxa" w:w="1224"/>
          </w:tcPr>
          <w:p>
            <w:r/>
            <w:r>
              <w:rPr>
                <w:b/>
                <w:sz w:val="16"/>
              </w:rPr>
              <w:t>p95&gt;M′ base</w:t>
            </w:r>
          </w:p>
        </w:tc>
        <w:tc>
          <w:tcPr>
            <w:tcW w:type="dxa" w:w="1224"/>
          </w:tcPr>
          <w:p>
            <w:r/>
            <w:r>
              <w:rPr>
                <w:b/>
                <w:sz w:val="16"/>
              </w:rPr>
              <w:t>mean&gt;M′ New</w:t>
            </w:r>
          </w:p>
        </w:tc>
        <w:tc>
          <w:tcPr>
            <w:tcW w:type="dxa" w:w="1224"/>
          </w:tcPr>
          <w:p>
            <w:r/>
            <w:r>
              <w:rPr>
                <w:b/>
                <w:sz w:val="16"/>
              </w:rPr>
              <w:t>mean&gt;M′ base</w:t>
            </w:r>
          </w:p>
        </w:tc>
      </w:tr>
      <w:tr>
        <w:tc>
          <w:tcPr>
            <w:tcW w:type="dxa" w:w="864"/>
          </w:tcPr>
          <w:p>
            <w:r/>
            <w:r>
              <w:rPr>
                <w:sz w:val="16"/>
              </w:rPr>
              <w:t>0-8</w:t>
            </w:r>
          </w:p>
        </w:tc>
        <w:tc>
          <w:tcPr>
            <w:tcW w:type="dxa" w:w="864"/>
          </w:tcPr>
          <w:p>
            <w:r/>
            <w:r>
              <w:rPr>
                <w:sz w:val="16"/>
              </w:rPr>
              <w:t>38,253</w:t>
            </w:r>
          </w:p>
        </w:tc>
        <w:tc>
          <w:tcPr>
            <w:tcW w:type="dxa" w:w="1080"/>
          </w:tcPr>
          <w:p>
            <w:r/>
            <w:r>
              <w:rPr>
                <w:sz w:val="16"/>
              </w:rPr>
              <w:t>74.1</w:t>
            </w:r>
          </w:p>
        </w:tc>
        <w:tc>
          <w:tcPr>
            <w:tcW w:type="dxa" w:w="1008"/>
          </w:tcPr>
          <w:p>
            <w:r/>
            <w:r>
              <w:rPr>
                <w:sz w:val="16"/>
              </w:rPr>
              <w:t>118.4</w:t>
            </w:r>
          </w:p>
        </w:tc>
        <w:tc>
          <w:tcPr>
            <w:tcW w:type="dxa" w:w="1008"/>
          </w:tcPr>
          <w:p>
            <w:r/>
            <w:r>
              <w:rPr>
                <w:sz w:val="16"/>
              </w:rPr>
              <w:t>147.4</w:t>
            </w:r>
          </w:p>
        </w:tc>
        <w:tc>
          <w:tcPr>
            <w:tcW w:type="dxa" w:w="1224"/>
          </w:tcPr>
          <w:p>
            <w:r/>
            <w:r>
              <w:rPr>
                <w:sz w:val="16"/>
              </w:rPr>
              <w:t>24.9%</w:t>
            </w:r>
          </w:p>
        </w:tc>
        <w:tc>
          <w:tcPr>
            <w:tcW w:type="dxa" w:w="1224"/>
          </w:tcPr>
          <w:p>
            <w:r/>
            <w:r>
              <w:rPr>
                <w:sz w:val="16"/>
              </w:rPr>
              <w:t>17.1%</w:t>
            </w:r>
          </w:p>
        </w:tc>
        <w:tc>
          <w:tcPr>
            <w:tcW w:type="dxa" w:w="1224"/>
          </w:tcPr>
          <w:p>
            <w:r/>
            <w:r>
              <w:rPr>
                <w:sz w:val="16"/>
              </w:rPr>
              <w:t>4.0%</w:t>
            </w:r>
          </w:p>
        </w:tc>
        <w:tc>
          <w:tcPr>
            <w:tcW w:type="dxa" w:w="1224"/>
          </w:tcPr>
          <w:p>
            <w:r/>
            <w:r>
              <w:rPr>
                <w:sz w:val="16"/>
              </w:rPr>
              <w:t>2.3%</w:t>
            </w:r>
          </w:p>
        </w:tc>
      </w:tr>
      <w:tr>
        <w:tc>
          <w:tcPr>
            <w:tcW w:type="dxa" w:w="864"/>
          </w:tcPr>
          <w:p>
            <w:r/>
            <w:r>
              <w:rPr>
                <w:sz w:val="16"/>
              </w:rPr>
              <w:t>8-10</w:t>
            </w:r>
          </w:p>
        </w:tc>
        <w:tc>
          <w:tcPr>
            <w:tcW w:type="dxa" w:w="864"/>
          </w:tcPr>
          <w:p>
            <w:r/>
            <w:r>
              <w:rPr>
                <w:sz w:val="16"/>
              </w:rPr>
              <w:t>31,084</w:t>
            </w:r>
          </w:p>
        </w:tc>
        <w:tc>
          <w:tcPr>
            <w:tcW w:type="dxa" w:w="1080"/>
          </w:tcPr>
          <w:p>
            <w:r/>
            <w:r>
              <w:rPr>
                <w:sz w:val="16"/>
              </w:rPr>
              <w:t>174.4</w:t>
            </w:r>
          </w:p>
        </w:tc>
        <w:tc>
          <w:tcPr>
            <w:tcW w:type="dxa" w:w="1008"/>
          </w:tcPr>
          <w:p>
            <w:r/>
            <w:r>
              <w:rPr>
                <w:sz w:val="16"/>
              </w:rPr>
              <w:t>162.5</w:t>
            </w:r>
          </w:p>
        </w:tc>
        <w:tc>
          <w:tcPr>
            <w:tcW w:type="dxa" w:w="1008"/>
          </w:tcPr>
          <w:p>
            <w:r/>
            <w:r>
              <w:rPr>
                <w:sz w:val="16"/>
              </w:rPr>
              <w:t>202.9</w:t>
            </w:r>
          </w:p>
        </w:tc>
        <w:tc>
          <w:tcPr>
            <w:tcW w:type="dxa" w:w="1224"/>
          </w:tcPr>
          <w:p>
            <w:r/>
            <w:r>
              <w:rPr>
                <w:sz w:val="16"/>
              </w:rPr>
              <w:t>48.2%</w:t>
            </w:r>
          </w:p>
        </w:tc>
        <w:tc>
          <w:tcPr>
            <w:tcW w:type="dxa" w:w="1224"/>
          </w:tcPr>
          <w:p>
            <w:r/>
            <w:r>
              <w:rPr>
                <w:sz w:val="16"/>
              </w:rPr>
              <w:t>38.8%</w:t>
            </w:r>
          </w:p>
        </w:tc>
        <w:tc>
          <w:tcPr>
            <w:tcW w:type="dxa" w:w="1224"/>
          </w:tcPr>
          <w:p>
            <w:r/>
            <w:r>
              <w:rPr>
                <w:sz w:val="16"/>
              </w:rPr>
              <w:t>16.5%</w:t>
            </w:r>
          </w:p>
        </w:tc>
        <w:tc>
          <w:tcPr>
            <w:tcW w:type="dxa" w:w="1224"/>
          </w:tcPr>
          <w:p>
            <w:r/>
            <w:r>
              <w:rPr>
                <w:sz w:val="16"/>
              </w:rPr>
              <w:t>11.1%</w:t>
            </w:r>
          </w:p>
        </w:tc>
      </w:tr>
      <w:tr>
        <w:tc>
          <w:tcPr>
            <w:tcW w:type="dxa" w:w="864"/>
          </w:tcPr>
          <w:p>
            <w:r/>
            <w:r>
              <w:rPr>
                <w:sz w:val="16"/>
              </w:rPr>
              <w:t>10-12</w:t>
            </w:r>
          </w:p>
        </w:tc>
        <w:tc>
          <w:tcPr>
            <w:tcW w:type="dxa" w:w="864"/>
          </w:tcPr>
          <w:p>
            <w:r/>
            <w:r>
              <w:rPr>
                <w:sz w:val="16"/>
              </w:rPr>
              <w:t>24,567</w:t>
            </w:r>
          </w:p>
        </w:tc>
        <w:tc>
          <w:tcPr>
            <w:tcW w:type="dxa" w:w="1080"/>
          </w:tcPr>
          <w:p>
            <w:r/>
            <w:r>
              <w:rPr>
                <w:sz w:val="16"/>
              </w:rPr>
              <w:t>266.0</w:t>
            </w:r>
          </w:p>
        </w:tc>
        <w:tc>
          <w:tcPr>
            <w:tcW w:type="dxa" w:w="1008"/>
          </w:tcPr>
          <w:p>
            <w:r/>
            <w:r>
              <w:rPr>
                <w:sz w:val="16"/>
              </w:rPr>
              <w:t>192.5</w:t>
            </w:r>
          </w:p>
        </w:tc>
        <w:tc>
          <w:tcPr>
            <w:tcW w:type="dxa" w:w="1008"/>
          </w:tcPr>
          <w:p>
            <w:r/>
            <w:r>
              <w:rPr>
                <w:sz w:val="16"/>
              </w:rPr>
              <w:t>231.0</w:t>
            </w:r>
          </w:p>
        </w:tc>
        <w:tc>
          <w:tcPr>
            <w:tcW w:type="dxa" w:w="1224"/>
          </w:tcPr>
          <w:p>
            <w:r/>
            <w:r>
              <w:rPr>
                <w:sz w:val="16"/>
              </w:rPr>
              <w:t>59.1%</w:t>
            </w:r>
          </w:p>
        </w:tc>
        <w:tc>
          <w:tcPr>
            <w:tcW w:type="dxa" w:w="1224"/>
          </w:tcPr>
          <w:p>
            <w:r/>
            <w:r>
              <w:rPr>
                <w:sz w:val="16"/>
              </w:rPr>
              <w:t>52.6%</w:t>
            </w:r>
          </w:p>
        </w:tc>
        <w:tc>
          <w:tcPr>
            <w:tcW w:type="dxa" w:w="1224"/>
          </w:tcPr>
          <w:p>
            <w:r/>
            <w:r>
              <w:rPr>
                <w:sz w:val="16"/>
              </w:rPr>
              <w:t>22.9%</w:t>
            </w:r>
          </w:p>
        </w:tc>
        <w:tc>
          <w:tcPr>
            <w:tcW w:type="dxa" w:w="1224"/>
          </w:tcPr>
          <w:p>
            <w:r/>
            <w:r>
              <w:rPr>
                <w:sz w:val="16"/>
              </w:rPr>
              <w:t>17.6%</w:t>
            </w:r>
          </w:p>
        </w:tc>
      </w:tr>
      <w:tr>
        <w:tc>
          <w:tcPr>
            <w:tcW w:type="dxa" w:w="864"/>
          </w:tcPr>
          <w:p>
            <w:r/>
            <w:r>
              <w:rPr>
                <w:sz w:val="16"/>
              </w:rPr>
              <w:t>12-14</w:t>
            </w:r>
          </w:p>
        </w:tc>
        <w:tc>
          <w:tcPr>
            <w:tcW w:type="dxa" w:w="864"/>
          </w:tcPr>
          <w:p>
            <w:r/>
            <w:r>
              <w:rPr>
                <w:sz w:val="16"/>
              </w:rPr>
              <w:t>17,587</w:t>
            </w:r>
          </w:p>
        </w:tc>
        <w:tc>
          <w:tcPr>
            <w:tcW w:type="dxa" w:w="1080"/>
          </w:tcPr>
          <w:p>
            <w:r/>
            <w:r>
              <w:rPr>
                <w:sz w:val="16"/>
              </w:rPr>
              <w:t>375.4</w:t>
            </w:r>
          </w:p>
        </w:tc>
        <w:tc>
          <w:tcPr>
            <w:tcW w:type="dxa" w:w="1008"/>
          </w:tcPr>
          <w:p>
            <w:r/>
            <w:r>
              <w:rPr>
                <w:sz w:val="16"/>
              </w:rPr>
              <w:t>265.5</w:t>
            </w:r>
          </w:p>
        </w:tc>
        <w:tc>
          <w:tcPr>
            <w:tcW w:type="dxa" w:w="1008"/>
          </w:tcPr>
          <w:p>
            <w:r/>
            <w:r>
              <w:rPr>
                <w:sz w:val="16"/>
              </w:rPr>
              <w:t>289.3</w:t>
            </w:r>
          </w:p>
        </w:tc>
        <w:tc>
          <w:tcPr>
            <w:tcW w:type="dxa" w:w="1224"/>
          </w:tcPr>
          <w:p>
            <w:r/>
            <w:r>
              <w:rPr>
                <w:sz w:val="16"/>
              </w:rPr>
              <w:t>59.9%</w:t>
            </w:r>
          </w:p>
        </w:tc>
        <w:tc>
          <w:tcPr>
            <w:tcW w:type="dxa" w:w="1224"/>
          </w:tcPr>
          <w:p>
            <w:r/>
            <w:r>
              <w:rPr>
                <w:sz w:val="16"/>
              </w:rPr>
              <w:t>54.2%</w:t>
            </w:r>
          </w:p>
        </w:tc>
        <w:tc>
          <w:tcPr>
            <w:tcW w:type="dxa" w:w="1224"/>
          </w:tcPr>
          <w:p>
            <w:r/>
            <w:r>
              <w:rPr>
                <w:sz w:val="16"/>
              </w:rPr>
              <w:t>23.6%</w:t>
            </w:r>
          </w:p>
        </w:tc>
        <w:tc>
          <w:tcPr>
            <w:tcW w:type="dxa" w:w="1224"/>
          </w:tcPr>
          <w:p>
            <w:r/>
            <w:r>
              <w:rPr>
                <w:sz w:val="16"/>
              </w:rPr>
              <w:t>20.2%</w:t>
            </w:r>
          </w:p>
        </w:tc>
      </w:tr>
      <w:tr>
        <w:tc>
          <w:tcPr>
            <w:tcW w:type="dxa" w:w="864"/>
          </w:tcPr>
          <w:p>
            <w:r/>
            <w:r>
              <w:rPr>
                <w:sz w:val="16"/>
              </w:rPr>
              <w:t>14-20</w:t>
            </w:r>
          </w:p>
        </w:tc>
        <w:tc>
          <w:tcPr>
            <w:tcW w:type="dxa" w:w="864"/>
          </w:tcPr>
          <w:p>
            <w:r/>
            <w:r>
              <w:rPr>
                <w:sz w:val="16"/>
              </w:rPr>
              <w:t>21,344</w:t>
            </w:r>
          </w:p>
        </w:tc>
        <w:tc>
          <w:tcPr>
            <w:tcW w:type="dxa" w:w="1080"/>
          </w:tcPr>
          <w:p>
            <w:r/>
            <w:r>
              <w:rPr>
                <w:sz w:val="16"/>
              </w:rPr>
              <w:t>501.4</w:t>
            </w:r>
          </w:p>
        </w:tc>
        <w:tc>
          <w:tcPr>
            <w:tcW w:type="dxa" w:w="1008"/>
          </w:tcPr>
          <w:p>
            <w:r/>
            <w:r>
              <w:rPr>
                <w:sz w:val="16"/>
              </w:rPr>
              <w:t>330.2</w:t>
            </w:r>
          </w:p>
        </w:tc>
        <w:tc>
          <w:tcPr>
            <w:tcW w:type="dxa" w:w="1008"/>
          </w:tcPr>
          <w:p>
            <w:r/>
            <w:r>
              <w:rPr>
                <w:sz w:val="16"/>
              </w:rPr>
              <w:t>356.5</w:t>
            </w:r>
          </w:p>
        </w:tc>
        <w:tc>
          <w:tcPr>
            <w:tcW w:type="dxa" w:w="1224"/>
          </w:tcPr>
          <w:p>
            <w:r/>
            <w:r>
              <w:rPr>
                <w:sz w:val="16"/>
              </w:rPr>
              <w:t>66.3%</w:t>
            </w:r>
          </w:p>
        </w:tc>
        <w:tc>
          <w:tcPr>
            <w:tcW w:type="dxa" w:w="1224"/>
          </w:tcPr>
          <w:p>
            <w:r/>
            <w:r>
              <w:rPr>
                <w:sz w:val="16"/>
              </w:rPr>
              <w:t>61.9%</w:t>
            </w:r>
          </w:p>
        </w:tc>
        <w:tc>
          <w:tcPr>
            <w:tcW w:type="dxa" w:w="1224"/>
          </w:tcPr>
          <w:p>
            <w:r/>
            <w:r>
              <w:rPr>
                <w:sz w:val="16"/>
              </w:rPr>
              <w:t>26.1%</w:t>
            </w:r>
          </w:p>
        </w:tc>
        <w:tc>
          <w:tcPr>
            <w:tcW w:type="dxa" w:w="1224"/>
          </w:tcPr>
          <w:p>
            <w:r/>
            <w:r>
              <w:rPr>
                <w:sz w:val="16"/>
              </w:rPr>
              <w:t>22.2%</w:t>
            </w:r>
          </w:p>
        </w:tc>
      </w:tr>
    </w:tbl>
    <w:p>
      <w:pPr>
        <w:spacing w:after="40"/>
      </w:pPr>
    </w:p>
    <w:p>
      <w:pPr>
        <w:spacing w:after="140" w:line="271" w:lineRule="auto"/>
      </w:pPr>
      <w:r>
        <w:rPr>
          <w:i w:val="0"/>
          <w:color w:val="1A1A1A"/>
          <w:sz w:val="21"/>
        </w:rPr>
        <w:t>Exceedance grows with FPI under both layers: M′ falls furthest behind GEDI in the most productive forest. This is the same shape as the national L4B analysis and the L4A hotspot analysis found. baseline_M's advantage is largest below FPI 12 and shrinks in the most productive forest.</w:t>
      </w:r>
    </w:p>
    <w:p>
      <w:pPr>
        <w:jc w:val="center"/>
      </w:pPr>
      <w:r>
        <w:drawing>
          <wp:inline xmlns:a="http://schemas.openxmlformats.org/drawingml/2006/main" xmlns:pic="http://schemas.openxmlformats.org/drawingml/2006/picture">
            <wp:extent cx="5760720" cy="2198859"/>
            <wp:docPr id="2" name="Picture 2"/>
            <wp:cNvGraphicFramePr>
              <a:graphicFrameLocks noChangeAspect="1"/>
            </wp:cNvGraphicFramePr>
            <a:graphic>
              <a:graphicData uri="http://schemas.openxmlformats.org/drawingml/2006/picture">
                <pic:pic>
                  <pic:nvPicPr>
                    <pic:cNvPr id="0" name="fig2_exceedance_by_fpi_bin.png"/>
                    <pic:cNvPicPr/>
                  </pic:nvPicPr>
                  <pic:blipFill>
                    <a:blip r:embed="rId10"/>
                    <a:stretch>
                      <a:fillRect/>
                    </a:stretch>
                  </pic:blipFill>
                  <pic:spPr>
                    <a:xfrm>
                      <a:off x="0" y="0"/>
                      <a:ext cx="5760720" cy="2198859"/>
                    </a:xfrm>
                    <a:prstGeom prst="rect"/>
                  </pic:spPr>
                </pic:pic>
              </a:graphicData>
            </a:graphic>
          </wp:inline>
        </w:drawing>
      </w:r>
    </w:p>
    <w:p>
      <w:pPr>
        <w:spacing w:after="240" w:line="271" w:lineRule="auto"/>
      </w:pPr>
      <w:r>
        <w:rPr>
          <w:i/>
          <w:color w:val="606060"/>
          <w:sz w:val="18"/>
        </w:rPr>
        <w:t>Figure 2. Share of cells where GEDI exceeds M′, by mean FPI 1985-2014. Left: fixed-n p95. Right: cell mean.</w:t>
      </w:r>
    </w:p>
    <w:p>
      <w:pPr>
        <w:pStyle w:val="Heading2"/>
      </w:pPr>
      <w:r>
        <w:rPr>
          <w:color w:val="0B3D62"/>
        </w:rPr>
        <w:t>4.4 By forest type</w:t>
      </w:r>
    </w:p>
    <w:tbl>
      <w:tblPr>
        <w:tblStyle w:val="LightGrid-Accent1"/>
        <w:tblW w:type="auto" w:w="0"/>
        <w:jc w:val="center"/>
        <w:tblLook w:firstColumn="1" w:firstRow="1" w:lastColumn="0" w:lastRow="0" w:noHBand="0" w:noVBand="1" w:val="04A0"/>
      </w:tblPr>
      <w:tblGrid>
        <w:gridCol w:w="1206"/>
        <w:gridCol w:w="1206"/>
        <w:gridCol w:w="1206"/>
        <w:gridCol w:w="1206"/>
        <w:gridCol w:w="1206"/>
        <w:gridCol w:w="1206"/>
        <w:gridCol w:w="1206"/>
        <w:gridCol w:w="1206"/>
      </w:tblGrid>
      <w:tr>
        <w:tc>
          <w:tcPr>
            <w:tcW w:type="dxa" w:w="2448"/>
          </w:tcPr>
          <w:p>
            <w:r/>
            <w:r>
              <w:rPr>
                <w:b/>
                <w:sz w:val="16"/>
              </w:rPr>
              <w:t>Evergreen broadleaf share of footprints</w:t>
            </w:r>
          </w:p>
        </w:tc>
        <w:tc>
          <w:tcPr>
            <w:tcW w:type="dxa" w:w="864"/>
          </w:tcPr>
          <w:p>
            <w:r/>
            <w:r>
              <w:rPr>
                <w:b/>
                <w:sz w:val="16"/>
              </w:rPr>
              <w:t>Cells</w:t>
            </w:r>
          </w:p>
        </w:tc>
        <w:tc>
          <w:tcPr>
            <w:tcW w:type="dxa" w:w="1008"/>
          </w:tcPr>
          <w:p>
            <w:r/>
            <w:r>
              <w:rPr>
                <w:b/>
                <w:sz w:val="16"/>
              </w:rPr>
              <w:t>GEDI mean</w:t>
            </w:r>
          </w:p>
        </w:tc>
        <w:tc>
          <w:tcPr>
            <w:tcW w:type="dxa" w:w="1008"/>
          </w:tcPr>
          <w:p>
            <w:r/>
            <w:r>
              <w:rPr>
                <w:b/>
                <w:sz w:val="16"/>
              </w:rPr>
              <w:t>GEDI p95</w:t>
            </w:r>
          </w:p>
        </w:tc>
        <w:tc>
          <w:tcPr>
            <w:tcW w:type="dxa" w:w="1152"/>
          </w:tcPr>
          <w:p>
            <w:r/>
            <w:r>
              <w:rPr>
                <w:b/>
                <w:sz w:val="16"/>
              </w:rPr>
              <w:t>p95&gt;M′ New</w:t>
            </w:r>
          </w:p>
        </w:tc>
        <w:tc>
          <w:tcPr>
            <w:tcW w:type="dxa" w:w="1152"/>
          </w:tcPr>
          <w:p>
            <w:r/>
            <w:r>
              <w:rPr>
                <w:b/>
                <w:sz w:val="16"/>
              </w:rPr>
              <w:t>p95&gt;M′ base</w:t>
            </w:r>
          </w:p>
        </w:tc>
        <w:tc>
          <w:tcPr>
            <w:tcW w:type="dxa" w:w="1152"/>
          </w:tcPr>
          <w:p>
            <w:r/>
            <w:r>
              <w:rPr>
                <w:b/>
                <w:sz w:val="16"/>
              </w:rPr>
              <w:t>mean&gt;M′ New</w:t>
            </w:r>
          </w:p>
        </w:tc>
        <w:tc>
          <w:tcPr>
            <w:tcW w:type="dxa" w:w="1152"/>
          </w:tcPr>
          <w:p>
            <w:r/>
            <w:r>
              <w:rPr>
                <w:b/>
                <w:sz w:val="16"/>
              </w:rPr>
              <w:t>mean&gt;M′ base</w:t>
            </w:r>
          </w:p>
        </w:tc>
      </w:tr>
      <w:tr>
        <w:tc>
          <w:tcPr>
            <w:tcW w:type="dxa" w:w="2448"/>
          </w:tcPr>
          <w:p>
            <w:r/>
            <w:r>
              <w:rPr>
                <w:sz w:val="16"/>
              </w:rPr>
              <w:t>&lt;50% evergreen broadleaf</w:t>
            </w:r>
          </w:p>
        </w:tc>
        <w:tc>
          <w:tcPr>
            <w:tcW w:type="dxa" w:w="864"/>
          </w:tcPr>
          <w:p>
            <w:r/>
            <w:r>
              <w:rPr>
                <w:sz w:val="16"/>
              </w:rPr>
              <w:t>44,363</w:t>
            </w:r>
          </w:p>
        </w:tc>
        <w:tc>
          <w:tcPr>
            <w:tcW w:type="dxa" w:w="1008"/>
          </w:tcPr>
          <w:p>
            <w:r/>
            <w:r>
              <w:rPr>
                <w:sz w:val="16"/>
              </w:rPr>
              <w:t>19.1</w:t>
            </w:r>
          </w:p>
        </w:tc>
        <w:tc>
          <w:tcPr>
            <w:tcW w:type="dxa" w:w="1008"/>
          </w:tcPr>
          <w:p>
            <w:r/>
            <w:r>
              <w:rPr>
                <w:sz w:val="16"/>
              </w:rPr>
              <w:t>78.9</w:t>
            </w:r>
          </w:p>
        </w:tc>
        <w:tc>
          <w:tcPr>
            <w:tcW w:type="dxa" w:w="1152"/>
          </w:tcPr>
          <w:p>
            <w:r/>
            <w:r>
              <w:rPr>
                <w:sz w:val="16"/>
              </w:rPr>
              <w:t>17.1%</w:t>
            </w:r>
          </w:p>
        </w:tc>
        <w:tc>
          <w:tcPr>
            <w:tcW w:type="dxa" w:w="1152"/>
          </w:tcPr>
          <w:p>
            <w:r/>
            <w:r>
              <w:rPr>
                <w:sz w:val="16"/>
              </w:rPr>
              <w:t>11.0%</w:t>
            </w:r>
          </w:p>
        </w:tc>
        <w:tc>
          <w:tcPr>
            <w:tcW w:type="dxa" w:w="1152"/>
          </w:tcPr>
          <w:p>
            <w:r/>
            <w:r>
              <w:rPr>
                <w:sz w:val="16"/>
              </w:rPr>
              <w:t>1.5%</w:t>
            </w:r>
          </w:p>
        </w:tc>
        <w:tc>
          <w:tcPr>
            <w:tcW w:type="dxa" w:w="1152"/>
          </w:tcPr>
          <w:p>
            <w:r/>
            <w:r>
              <w:rPr>
                <w:sz w:val="16"/>
              </w:rPr>
              <w:t>0.9%</w:t>
            </w:r>
          </w:p>
        </w:tc>
      </w:tr>
      <w:tr>
        <w:tc>
          <w:tcPr>
            <w:tcW w:type="dxa" w:w="2448"/>
          </w:tcPr>
          <w:p>
            <w:r/>
            <w:r>
              <w:rPr>
                <w:sz w:val="16"/>
              </w:rPr>
              <w:t>50-90%</w:t>
            </w:r>
          </w:p>
        </w:tc>
        <w:tc>
          <w:tcPr>
            <w:tcW w:type="dxa" w:w="864"/>
          </w:tcPr>
          <w:p>
            <w:r/>
            <w:r>
              <w:rPr>
                <w:sz w:val="16"/>
              </w:rPr>
              <w:t>9,605</w:t>
            </w:r>
          </w:p>
        </w:tc>
        <w:tc>
          <w:tcPr>
            <w:tcW w:type="dxa" w:w="1008"/>
          </w:tcPr>
          <w:p>
            <w:r/>
            <w:r>
              <w:rPr>
                <w:sz w:val="16"/>
              </w:rPr>
              <w:t>47.1</w:t>
            </w:r>
          </w:p>
        </w:tc>
        <w:tc>
          <w:tcPr>
            <w:tcW w:type="dxa" w:w="1008"/>
          </w:tcPr>
          <w:p>
            <w:r/>
            <w:r>
              <w:rPr>
                <w:sz w:val="16"/>
              </w:rPr>
              <w:t>151.1</w:t>
            </w:r>
          </w:p>
        </w:tc>
        <w:tc>
          <w:tcPr>
            <w:tcW w:type="dxa" w:w="1152"/>
          </w:tcPr>
          <w:p>
            <w:r/>
            <w:r>
              <w:rPr>
                <w:sz w:val="16"/>
              </w:rPr>
              <w:t>42.2%</w:t>
            </w:r>
          </w:p>
        </w:tc>
        <w:tc>
          <w:tcPr>
            <w:tcW w:type="dxa" w:w="1152"/>
          </w:tcPr>
          <w:p>
            <w:r/>
            <w:r>
              <w:rPr>
                <w:sz w:val="16"/>
              </w:rPr>
              <w:t>33.0%</w:t>
            </w:r>
          </w:p>
        </w:tc>
        <w:tc>
          <w:tcPr>
            <w:tcW w:type="dxa" w:w="1152"/>
          </w:tcPr>
          <w:p>
            <w:r/>
            <w:r>
              <w:rPr>
                <w:sz w:val="16"/>
              </w:rPr>
              <w:t>7.0%</w:t>
            </w:r>
          </w:p>
        </w:tc>
        <w:tc>
          <w:tcPr>
            <w:tcW w:type="dxa" w:w="1152"/>
          </w:tcPr>
          <w:p>
            <w:r/>
            <w:r>
              <w:rPr>
                <w:sz w:val="16"/>
              </w:rPr>
              <w:t>4.2%</w:t>
            </w:r>
          </w:p>
        </w:tc>
      </w:tr>
      <w:tr>
        <w:tc>
          <w:tcPr>
            <w:tcW w:type="dxa" w:w="2448"/>
          </w:tcPr>
          <w:p>
            <w:r/>
            <w:r>
              <w:rPr>
                <w:sz w:val="16"/>
              </w:rPr>
              <w:t>&gt;=90%</w:t>
            </w:r>
          </w:p>
        </w:tc>
        <w:tc>
          <w:tcPr>
            <w:tcW w:type="dxa" w:w="864"/>
          </w:tcPr>
          <w:p>
            <w:r/>
            <w:r>
              <w:rPr>
                <w:sz w:val="16"/>
              </w:rPr>
              <w:t>79,461</w:t>
            </w:r>
          </w:p>
        </w:tc>
        <w:tc>
          <w:tcPr>
            <w:tcW w:type="dxa" w:w="1008"/>
          </w:tcPr>
          <w:p>
            <w:r/>
            <w:r>
              <w:rPr>
                <w:sz w:val="16"/>
              </w:rPr>
              <w:t>131.8</w:t>
            </w:r>
          </w:p>
        </w:tc>
        <w:tc>
          <w:tcPr>
            <w:tcW w:type="dxa" w:w="1008"/>
          </w:tcPr>
          <w:p>
            <w:r/>
            <w:r>
              <w:rPr>
                <w:sz w:val="16"/>
              </w:rPr>
              <w:t>333.2</w:t>
            </w:r>
          </w:p>
        </w:tc>
        <w:tc>
          <w:tcPr>
            <w:tcW w:type="dxa" w:w="1152"/>
          </w:tcPr>
          <w:p>
            <w:r/>
            <w:r>
              <w:rPr>
                <w:sz w:val="16"/>
              </w:rPr>
              <w:t>66.1%</w:t>
            </w:r>
          </w:p>
        </w:tc>
        <w:tc>
          <w:tcPr>
            <w:tcW w:type="dxa" w:w="1152"/>
          </w:tcPr>
          <w:p>
            <w:r/>
            <w:r>
              <w:rPr>
                <w:sz w:val="16"/>
              </w:rPr>
              <w:t>58.7%</w:t>
            </w:r>
          </w:p>
        </w:tc>
        <w:tc>
          <w:tcPr>
            <w:tcW w:type="dxa" w:w="1152"/>
          </w:tcPr>
          <w:p>
            <w:r/>
            <w:r>
              <w:rPr>
                <w:sz w:val="16"/>
              </w:rPr>
              <w:t>26.3%</w:t>
            </w:r>
          </w:p>
        </w:tc>
        <w:tc>
          <w:tcPr>
            <w:tcW w:type="dxa" w:w="1152"/>
          </w:tcPr>
          <w:p>
            <w:r/>
            <w:r>
              <w:rPr>
                <w:sz w:val="16"/>
              </w:rPr>
              <w:t>20.5%</w:t>
            </w:r>
          </w:p>
        </w:tc>
      </w:tr>
    </w:tbl>
    <w:p>
      <w:pPr>
        <w:spacing w:after="40"/>
      </w:pPr>
    </w:p>
    <w:p>
      <w:pPr>
        <w:spacing w:after="140" w:line="271" w:lineRule="auto"/>
      </w:pPr>
      <w:r>
        <w:rPr>
          <w:i w:val="0"/>
          <w:color w:val="1A1A1A"/>
          <w:sz w:val="21"/>
        </w:rPr>
        <w:t>Forest type comes from each footprint's pft_class (the MODIS land-cover class carried in L4A), not from NVIS. In cells that are mostly not evergreen broadleaf (cleared land, pasture, plantations), the mean rarely exceeds M′, as it should. Exceedance concentrates in closed forest.</w:t>
      </w:r>
    </w:p>
    <w:p>
      <w:pPr>
        <w:pStyle w:val="Heading2"/>
      </w:pPr>
      <w:r>
        <w:rPr>
          <w:color w:val="0B3D62"/>
        </w:rPr>
        <w:t>4.5 By region</w:t>
      </w:r>
    </w:p>
    <w:tbl>
      <w:tblPr>
        <w:tblStyle w:val="LightGrid-Accent1"/>
        <w:tblW w:type="auto" w:w="0"/>
        <w:jc w:val="center"/>
        <w:tblLook w:firstColumn="1" w:firstRow="1" w:lastColumn="0" w:lastRow="0" w:noHBand="0" w:noVBand="1" w:val="04A0"/>
      </w:tblPr>
      <w:tblGrid>
        <w:gridCol w:w="804"/>
        <w:gridCol w:w="804"/>
        <w:gridCol w:w="804"/>
        <w:gridCol w:w="804"/>
        <w:gridCol w:w="804"/>
        <w:gridCol w:w="804"/>
        <w:gridCol w:w="804"/>
        <w:gridCol w:w="804"/>
        <w:gridCol w:w="804"/>
        <w:gridCol w:w="804"/>
        <w:gridCol w:w="804"/>
        <w:gridCol w:w="804"/>
      </w:tblGrid>
      <w:tr>
        <w:tc>
          <w:tcPr>
            <w:tcW w:type="dxa" w:w="1584"/>
          </w:tcPr>
          <w:p>
            <w:r/>
            <w:r>
              <w:rPr>
                <w:b/>
                <w:sz w:val="15"/>
              </w:rPr>
              <w:t>Region</w:t>
            </w:r>
          </w:p>
        </w:tc>
        <w:tc>
          <w:tcPr>
            <w:tcW w:type="dxa" w:w="792"/>
          </w:tcPr>
          <w:p>
            <w:r/>
            <w:r>
              <w:rPr>
                <w:b/>
                <w:sz w:val="15"/>
              </w:rPr>
              <w:t>Cells</w:t>
            </w:r>
          </w:p>
        </w:tc>
        <w:tc>
          <w:tcPr>
            <w:tcW w:type="dxa" w:w="576"/>
          </w:tcPr>
          <w:p>
            <w:r/>
            <w:r>
              <w:rPr>
                <w:b/>
                <w:sz w:val="15"/>
              </w:rPr>
              <w:t>FPI</w:t>
            </w:r>
          </w:p>
        </w:tc>
        <w:tc>
          <w:tcPr>
            <w:tcW w:type="dxa" w:w="792"/>
          </w:tcPr>
          <w:p>
            <w:r/>
            <w:r>
              <w:rPr>
                <w:b/>
                <w:sz w:val="15"/>
              </w:rPr>
              <w:t>% cells ≥ 90% EBF</w:t>
            </w:r>
          </w:p>
        </w:tc>
        <w:tc>
          <w:tcPr>
            <w:tcW w:type="dxa" w:w="720"/>
          </w:tcPr>
          <w:p>
            <w:r/>
            <w:r>
              <w:rPr>
                <w:b/>
                <w:sz w:val="15"/>
              </w:rPr>
              <w:t>M′ New</w:t>
            </w:r>
          </w:p>
        </w:tc>
        <w:tc>
          <w:tcPr>
            <w:tcW w:type="dxa" w:w="720"/>
          </w:tcPr>
          <w:p>
            <w:r/>
            <w:r>
              <w:rPr>
                <w:b/>
                <w:sz w:val="15"/>
              </w:rPr>
              <w:t>GEDI p95</w:t>
            </w:r>
          </w:p>
        </w:tc>
        <w:tc>
          <w:tcPr>
            <w:tcW w:type="dxa" w:w="720"/>
          </w:tcPr>
          <w:p>
            <w:r/>
            <w:r>
              <w:rPr>
                <w:b/>
                <w:sz w:val="15"/>
              </w:rPr>
              <w:t>M′/p95</w:t>
            </w:r>
          </w:p>
        </w:tc>
        <w:tc>
          <w:tcPr>
            <w:tcW w:type="dxa" w:w="576"/>
          </w:tcPr>
          <w:p>
            <w:r/>
            <w:r>
              <w:rPr>
                <w:b/>
                <w:sz w:val="15"/>
              </w:rPr>
              <w:t>ρ</w:t>
            </w:r>
          </w:p>
        </w:tc>
        <w:tc>
          <w:tcPr>
            <w:tcW w:type="dxa" w:w="864"/>
          </w:tcPr>
          <w:p>
            <w:r/>
            <w:r>
              <w:rPr>
                <w:b/>
                <w:sz w:val="15"/>
              </w:rPr>
              <w:t>p95&gt;M′ New</w:t>
            </w:r>
          </w:p>
        </w:tc>
        <w:tc>
          <w:tcPr>
            <w:tcW w:type="dxa" w:w="864"/>
          </w:tcPr>
          <w:p>
            <w:r/>
            <w:r>
              <w:rPr>
                <w:b/>
                <w:sz w:val="15"/>
              </w:rPr>
              <w:t>p95&gt;M′ base</w:t>
            </w:r>
          </w:p>
        </w:tc>
        <w:tc>
          <w:tcPr>
            <w:tcW w:type="dxa" w:w="864"/>
          </w:tcPr>
          <w:p>
            <w:r/>
            <w:r>
              <w:rPr>
                <w:b/>
                <w:sz w:val="15"/>
              </w:rPr>
              <w:t>mean&gt;M′ New</w:t>
            </w:r>
          </w:p>
        </w:tc>
        <w:tc>
          <w:tcPr>
            <w:tcW w:type="dxa" w:w="864"/>
          </w:tcPr>
          <w:p>
            <w:r/>
            <w:r>
              <w:rPr>
                <w:b/>
                <w:sz w:val="15"/>
              </w:rPr>
              <w:t>mean&gt;M′ base</w:t>
            </w:r>
          </w:p>
        </w:tc>
      </w:tr>
      <w:tr>
        <w:tc>
          <w:tcPr>
            <w:tcW w:type="dxa" w:w="1584"/>
          </w:tcPr>
          <w:p>
            <w:r/>
            <w:r>
              <w:rPr>
                <w:sz w:val="15"/>
              </w:rPr>
              <w:t>vic_central</w:t>
            </w:r>
          </w:p>
        </w:tc>
        <w:tc>
          <w:tcPr>
            <w:tcW w:type="dxa" w:w="792"/>
          </w:tcPr>
          <w:p>
            <w:r/>
            <w:r>
              <w:rPr>
                <w:sz w:val="15"/>
              </w:rPr>
              <w:t>10,450</w:t>
            </w:r>
          </w:p>
        </w:tc>
        <w:tc>
          <w:tcPr>
            <w:tcW w:type="dxa" w:w="576"/>
          </w:tcPr>
          <w:p>
            <w:r/>
            <w:r>
              <w:rPr>
                <w:sz w:val="15"/>
              </w:rPr>
              <w:t>11.1</w:t>
            </w:r>
          </w:p>
        </w:tc>
        <w:tc>
          <w:tcPr>
            <w:tcW w:type="dxa" w:w="792"/>
          </w:tcPr>
          <w:p>
            <w:r/>
            <w:r>
              <w:rPr>
                <w:sz w:val="15"/>
              </w:rPr>
              <w:t>72.3</w:t>
            </w:r>
          </w:p>
        </w:tc>
        <w:tc>
          <w:tcPr>
            <w:tcW w:type="dxa" w:w="720"/>
          </w:tcPr>
          <w:p>
            <w:r/>
            <w:r>
              <w:rPr>
                <w:sz w:val="15"/>
              </w:rPr>
              <w:t>305.4</w:t>
            </w:r>
          </w:p>
        </w:tc>
        <w:tc>
          <w:tcPr>
            <w:tcW w:type="dxa" w:w="720"/>
          </w:tcPr>
          <w:p>
            <w:r/>
            <w:r>
              <w:rPr>
                <w:sz w:val="15"/>
              </w:rPr>
              <w:t>363.4</w:t>
            </w:r>
          </w:p>
        </w:tc>
        <w:tc>
          <w:tcPr>
            <w:tcW w:type="dxa" w:w="720"/>
          </w:tcPr>
          <w:p>
            <w:r/>
            <w:r>
              <w:rPr>
                <w:sz w:val="15"/>
              </w:rPr>
              <w:t>0.82</w:t>
            </w:r>
          </w:p>
        </w:tc>
        <w:tc>
          <w:tcPr>
            <w:tcW w:type="dxa" w:w="576"/>
          </w:tcPr>
          <w:p>
            <w:r/>
            <w:r>
              <w:rPr>
                <w:sz w:val="15"/>
              </w:rPr>
              <w:t>0.74</w:t>
            </w:r>
          </w:p>
        </w:tc>
        <w:tc>
          <w:tcPr>
            <w:tcW w:type="dxa" w:w="864"/>
          </w:tcPr>
          <w:p>
            <w:r/>
            <w:r>
              <w:rPr>
                <w:sz w:val="15"/>
              </w:rPr>
              <w:t>62.6%</w:t>
            </w:r>
          </w:p>
        </w:tc>
        <w:tc>
          <w:tcPr>
            <w:tcW w:type="dxa" w:w="864"/>
          </w:tcPr>
          <w:p>
            <w:r/>
            <w:r>
              <w:rPr>
                <w:sz w:val="15"/>
              </w:rPr>
              <w:t>51.4%</w:t>
            </w:r>
          </w:p>
        </w:tc>
        <w:tc>
          <w:tcPr>
            <w:tcW w:type="dxa" w:w="864"/>
          </w:tcPr>
          <w:p>
            <w:r/>
            <w:r>
              <w:rPr>
                <w:sz w:val="15"/>
              </w:rPr>
              <w:t>12.9%</w:t>
            </w:r>
          </w:p>
        </w:tc>
        <w:tc>
          <w:tcPr>
            <w:tcW w:type="dxa" w:w="864"/>
          </w:tcPr>
          <w:p>
            <w:r/>
            <w:r>
              <w:rPr>
                <w:sz w:val="15"/>
              </w:rPr>
              <w:t>7.8%</w:t>
            </w:r>
          </w:p>
        </w:tc>
      </w:tr>
      <w:tr>
        <w:tc>
          <w:tcPr>
            <w:tcW w:type="dxa" w:w="1584"/>
          </w:tcPr>
          <w:p>
            <w:r/>
            <w:r>
              <w:rPr>
                <w:sz w:val="15"/>
              </w:rPr>
              <w:t>nsw_north_seqld</w:t>
            </w:r>
          </w:p>
        </w:tc>
        <w:tc>
          <w:tcPr>
            <w:tcW w:type="dxa" w:w="792"/>
          </w:tcPr>
          <w:p>
            <w:r/>
            <w:r>
              <w:rPr>
                <w:sz w:val="15"/>
              </w:rPr>
              <w:t>36,374</w:t>
            </w:r>
          </w:p>
        </w:tc>
        <w:tc>
          <w:tcPr>
            <w:tcW w:type="dxa" w:w="576"/>
          </w:tcPr>
          <w:p>
            <w:r/>
            <w:r>
              <w:rPr>
                <w:sz w:val="15"/>
              </w:rPr>
              <w:t>12.3</w:t>
            </w:r>
          </w:p>
        </w:tc>
        <w:tc>
          <w:tcPr>
            <w:tcW w:type="dxa" w:w="792"/>
          </w:tcPr>
          <w:p>
            <w:r/>
            <w:r>
              <w:rPr>
                <w:sz w:val="15"/>
              </w:rPr>
              <w:t>63.2</w:t>
            </w:r>
          </w:p>
        </w:tc>
        <w:tc>
          <w:tcPr>
            <w:tcW w:type="dxa" w:w="720"/>
          </w:tcPr>
          <w:p>
            <w:r/>
            <w:r>
              <w:rPr>
                <w:sz w:val="15"/>
              </w:rPr>
              <w:t>195.7</w:t>
            </w:r>
          </w:p>
        </w:tc>
        <w:tc>
          <w:tcPr>
            <w:tcW w:type="dxa" w:w="720"/>
          </w:tcPr>
          <w:p>
            <w:r/>
            <w:r>
              <w:rPr>
                <w:sz w:val="15"/>
              </w:rPr>
              <w:t>243.2</w:t>
            </w:r>
          </w:p>
        </w:tc>
        <w:tc>
          <w:tcPr>
            <w:tcW w:type="dxa" w:w="720"/>
          </w:tcPr>
          <w:p>
            <w:r/>
            <w:r>
              <w:rPr>
                <w:sz w:val="15"/>
              </w:rPr>
              <w:t>0.76</w:t>
            </w:r>
          </w:p>
        </w:tc>
        <w:tc>
          <w:tcPr>
            <w:tcW w:type="dxa" w:w="576"/>
          </w:tcPr>
          <w:p>
            <w:r/>
            <w:r>
              <w:rPr>
                <w:sz w:val="15"/>
              </w:rPr>
              <w:t>0.52</w:t>
            </w:r>
          </w:p>
        </w:tc>
        <w:tc>
          <w:tcPr>
            <w:tcW w:type="dxa" w:w="864"/>
          </w:tcPr>
          <w:p>
            <w:r/>
            <w:r>
              <w:rPr>
                <w:sz w:val="15"/>
              </w:rPr>
              <w:t>61.7%</w:t>
            </w:r>
          </w:p>
        </w:tc>
        <w:tc>
          <w:tcPr>
            <w:tcW w:type="dxa" w:w="864"/>
          </w:tcPr>
          <w:p>
            <w:r/>
            <w:r>
              <w:rPr>
                <w:sz w:val="15"/>
              </w:rPr>
              <w:t>52.8%</w:t>
            </w:r>
          </w:p>
        </w:tc>
        <w:tc>
          <w:tcPr>
            <w:tcW w:type="dxa" w:w="864"/>
          </w:tcPr>
          <w:p>
            <w:r/>
            <w:r>
              <w:rPr>
                <w:sz w:val="15"/>
              </w:rPr>
              <w:t>23.9%</w:t>
            </w:r>
          </w:p>
        </w:tc>
        <w:tc>
          <w:tcPr>
            <w:tcW w:type="dxa" w:w="864"/>
          </w:tcPr>
          <w:p>
            <w:r/>
            <w:r>
              <w:rPr>
                <w:sz w:val="15"/>
              </w:rPr>
              <w:t>19.5%</w:t>
            </w:r>
          </w:p>
        </w:tc>
      </w:tr>
      <w:tr>
        <w:tc>
          <w:tcPr>
            <w:tcW w:type="dxa" w:w="1584"/>
          </w:tcPr>
          <w:p>
            <w:r/>
            <w:r>
              <w:rPr>
                <w:sz w:val="15"/>
              </w:rPr>
              <w:t>tasmania</w:t>
            </w:r>
          </w:p>
        </w:tc>
        <w:tc>
          <w:tcPr>
            <w:tcW w:type="dxa" w:w="792"/>
          </w:tcPr>
          <w:p>
            <w:r/>
            <w:r>
              <w:rPr>
                <w:sz w:val="15"/>
              </w:rPr>
              <w:t>36,072</w:t>
            </w:r>
          </w:p>
        </w:tc>
        <w:tc>
          <w:tcPr>
            <w:tcW w:type="dxa" w:w="576"/>
          </w:tcPr>
          <w:p>
            <w:r/>
            <w:r>
              <w:rPr>
                <w:sz w:val="15"/>
              </w:rPr>
              <w:t>9.4</w:t>
            </w:r>
          </w:p>
        </w:tc>
        <w:tc>
          <w:tcPr>
            <w:tcW w:type="dxa" w:w="792"/>
          </w:tcPr>
          <w:p>
            <w:r/>
            <w:r>
              <w:rPr>
                <w:sz w:val="15"/>
              </w:rPr>
              <w:t>78.1</w:t>
            </w:r>
          </w:p>
        </w:tc>
        <w:tc>
          <w:tcPr>
            <w:tcW w:type="dxa" w:w="720"/>
          </w:tcPr>
          <w:p>
            <w:r/>
            <w:r>
              <w:rPr>
                <w:sz w:val="15"/>
              </w:rPr>
              <w:t>181.9</w:t>
            </w:r>
          </w:p>
        </w:tc>
        <w:tc>
          <w:tcPr>
            <w:tcW w:type="dxa" w:w="720"/>
          </w:tcPr>
          <w:p>
            <w:r/>
            <w:r>
              <w:rPr>
                <w:sz w:val="15"/>
              </w:rPr>
              <w:t>255.2</w:t>
            </w:r>
          </w:p>
        </w:tc>
        <w:tc>
          <w:tcPr>
            <w:tcW w:type="dxa" w:w="720"/>
          </w:tcPr>
          <w:p>
            <w:r/>
            <w:r>
              <w:rPr>
                <w:sz w:val="15"/>
              </w:rPr>
              <w:t>0.93</w:t>
            </w:r>
          </w:p>
        </w:tc>
        <w:tc>
          <w:tcPr>
            <w:tcW w:type="dxa" w:w="576"/>
          </w:tcPr>
          <w:p>
            <w:r/>
            <w:r>
              <w:rPr>
                <w:sz w:val="15"/>
              </w:rPr>
              <w:t>0.41</w:t>
            </w:r>
          </w:p>
        </w:tc>
        <w:tc>
          <w:tcPr>
            <w:tcW w:type="dxa" w:w="864"/>
          </w:tcPr>
          <w:p>
            <w:r/>
            <w:r>
              <w:rPr>
                <w:sz w:val="15"/>
              </w:rPr>
              <w:t>52.5%</w:t>
            </w:r>
          </w:p>
        </w:tc>
        <w:tc>
          <w:tcPr>
            <w:tcW w:type="dxa" w:w="864"/>
          </w:tcPr>
          <w:p>
            <w:r/>
            <w:r>
              <w:rPr>
                <w:sz w:val="15"/>
              </w:rPr>
              <w:t>46.6%</w:t>
            </w:r>
          </w:p>
        </w:tc>
        <w:tc>
          <w:tcPr>
            <w:tcW w:type="dxa" w:w="864"/>
          </w:tcPr>
          <w:p>
            <w:r/>
            <w:r>
              <w:rPr>
                <w:sz w:val="15"/>
              </w:rPr>
              <w:t>19.6%</w:t>
            </w:r>
          </w:p>
        </w:tc>
        <w:tc>
          <w:tcPr>
            <w:tcW w:type="dxa" w:w="864"/>
          </w:tcPr>
          <w:p>
            <w:r/>
            <w:r>
              <w:rPr>
                <w:sz w:val="15"/>
              </w:rPr>
              <w:t>14.7%</w:t>
            </w:r>
          </w:p>
        </w:tc>
      </w:tr>
      <w:tr>
        <w:tc>
          <w:tcPr>
            <w:tcW w:type="dxa" w:w="1584"/>
          </w:tcPr>
          <w:p>
            <w:r/>
            <w:r>
              <w:rPr>
                <w:sz w:val="15"/>
              </w:rPr>
              <w:t>nsw_southeast</w:t>
            </w:r>
          </w:p>
        </w:tc>
        <w:tc>
          <w:tcPr>
            <w:tcW w:type="dxa" w:w="792"/>
          </w:tcPr>
          <w:p>
            <w:r/>
            <w:r>
              <w:rPr>
                <w:sz w:val="15"/>
              </w:rPr>
              <w:t>19,266</w:t>
            </w:r>
          </w:p>
        </w:tc>
        <w:tc>
          <w:tcPr>
            <w:tcW w:type="dxa" w:w="576"/>
          </w:tcPr>
          <w:p>
            <w:r/>
            <w:r>
              <w:rPr>
                <w:sz w:val="15"/>
              </w:rPr>
              <w:t>10.3</w:t>
            </w:r>
          </w:p>
        </w:tc>
        <w:tc>
          <w:tcPr>
            <w:tcW w:type="dxa" w:w="792"/>
          </w:tcPr>
          <w:p>
            <w:r/>
            <w:r>
              <w:rPr>
                <w:sz w:val="15"/>
              </w:rPr>
              <w:t>54.5</w:t>
            </w:r>
          </w:p>
        </w:tc>
        <w:tc>
          <w:tcPr>
            <w:tcW w:type="dxa" w:w="720"/>
          </w:tcPr>
          <w:p>
            <w:r/>
            <w:r>
              <w:rPr>
                <w:sz w:val="15"/>
              </w:rPr>
              <w:t>203.6</w:t>
            </w:r>
          </w:p>
        </w:tc>
        <w:tc>
          <w:tcPr>
            <w:tcW w:type="dxa" w:w="720"/>
          </w:tcPr>
          <w:p>
            <w:r/>
            <w:r>
              <w:rPr>
                <w:sz w:val="15"/>
              </w:rPr>
              <w:t>199.2</w:t>
            </w:r>
          </w:p>
        </w:tc>
        <w:tc>
          <w:tcPr>
            <w:tcW w:type="dxa" w:w="720"/>
          </w:tcPr>
          <w:p>
            <w:r/>
            <w:r>
              <w:rPr>
                <w:sz w:val="15"/>
              </w:rPr>
              <w:t>1.10</w:t>
            </w:r>
          </w:p>
        </w:tc>
        <w:tc>
          <w:tcPr>
            <w:tcW w:type="dxa" w:w="576"/>
          </w:tcPr>
          <w:p>
            <w:r/>
            <w:r>
              <w:rPr>
                <w:sz w:val="15"/>
              </w:rPr>
              <w:t>0.20</w:t>
            </w:r>
          </w:p>
        </w:tc>
        <w:tc>
          <w:tcPr>
            <w:tcW w:type="dxa" w:w="864"/>
          </w:tcPr>
          <w:p>
            <w:r/>
            <w:r>
              <w:rPr>
                <w:sz w:val="15"/>
              </w:rPr>
              <w:t>46.5%</w:t>
            </w:r>
          </w:p>
        </w:tc>
        <w:tc>
          <w:tcPr>
            <w:tcW w:type="dxa" w:w="864"/>
          </w:tcPr>
          <w:p>
            <w:r/>
            <w:r>
              <w:rPr>
                <w:sz w:val="15"/>
              </w:rPr>
              <w:t>41.1%</w:t>
            </w:r>
          </w:p>
        </w:tc>
        <w:tc>
          <w:tcPr>
            <w:tcW w:type="dxa" w:w="864"/>
          </w:tcPr>
          <w:p>
            <w:r/>
            <w:r>
              <w:rPr>
                <w:sz w:val="15"/>
              </w:rPr>
              <w:t>17.5%</w:t>
            </w:r>
          </w:p>
        </w:tc>
        <w:tc>
          <w:tcPr>
            <w:tcW w:type="dxa" w:w="864"/>
          </w:tcPr>
          <w:p>
            <w:r/>
            <w:r>
              <w:rPr>
                <w:sz w:val="15"/>
              </w:rPr>
              <w:t>14.4%</w:t>
            </w:r>
          </w:p>
        </w:tc>
      </w:tr>
      <w:tr>
        <w:tc>
          <w:tcPr>
            <w:tcW w:type="dxa" w:w="1584"/>
          </w:tcPr>
          <w:p>
            <w:r/>
            <w:r>
              <w:rPr>
                <w:sz w:val="15"/>
              </w:rPr>
              <w:t>vic_gippsland</w:t>
            </w:r>
          </w:p>
        </w:tc>
        <w:tc>
          <w:tcPr>
            <w:tcW w:type="dxa" w:w="792"/>
          </w:tcPr>
          <w:p>
            <w:r/>
            <w:r>
              <w:rPr>
                <w:sz w:val="15"/>
              </w:rPr>
              <w:t>5,156</w:t>
            </w:r>
          </w:p>
        </w:tc>
        <w:tc>
          <w:tcPr>
            <w:tcW w:type="dxa" w:w="576"/>
          </w:tcPr>
          <w:p>
            <w:r/>
            <w:r>
              <w:rPr>
                <w:sz w:val="15"/>
              </w:rPr>
              <w:t>10.6</w:t>
            </w:r>
          </w:p>
        </w:tc>
        <w:tc>
          <w:tcPr>
            <w:tcW w:type="dxa" w:w="792"/>
          </w:tcPr>
          <w:p>
            <w:r/>
            <w:r>
              <w:rPr>
                <w:sz w:val="15"/>
              </w:rPr>
              <w:t>27.4</w:t>
            </w:r>
          </w:p>
        </w:tc>
        <w:tc>
          <w:tcPr>
            <w:tcW w:type="dxa" w:w="720"/>
          </w:tcPr>
          <w:p>
            <w:r/>
            <w:r>
              <w:rPr>
                <w:sz w:val="15"/>
              </w:rPr>
              <w:t>267.8</w:t>
            </w:r>
          </w:p>
        </w:tc>
        <w:tc>
          <w:tcPr>
            <w:tcW w:type="dxa" w:w="720"/>
          </w:tcPr>
          <w:p>
            <w:r/>
            <w:r>
              <w:rPr>
                <w:sz w:val="15"/>
              </w:rPr>
              <w:t>168.2</w:t>
            </w:r>
          </w:p>
        </w:tc>
        <w:tc>
          <w:tcPr>
            <w:tcW w:type="dxa" w:w="720"/>
          </w:tcPr>
          <w:p>
            <w:r/>
            <w:r>
              <w:rPr>
                <w:sz w:val="15"/>
              </w:rPr>
              <w:t>1.56</w:t>
            </w:r>
          </w:p>
        </w:tc>
        <w:tc>
          <w:tcPr>
            <w:tcW w:type="dxa" w:w="576"/>
          </w:tcPr>
          <w:p>
            <w:r/>
            <w:r>
              <w:rPr>
                <w:sz w:val="15"/>
              </w:rPr>
              <w:t>0.36</w:t>
            </w:r>
          </w:p>
        </w:tc>
        <w:tc>
          <w:tcPr>
            <w:tcW w:type="dxa" w:w="864"/>
          </w:tcPr>
          <w:p>
            <w:r/>
            <w:r>
              <w:rPr>
                <w:sz w:val="15"/>
              </w:rPr>
              <w:t>30.1%</w:t>
            </w:r>
          </w:p>
        </w:tc>
        <w:tc>
          <w:tcPr>
            <w:tcW w:type="dxa" w:w="864"/>
          </w:tcPr>
          <w:p>
            <w:r/>
            <w:r>
              <w:rPr>
                <w:sz w:val="15"/>
              </w:rPr>
              <w:t>23.3%</w:t>
            </w:r>
          </w:p>
        </w:tc>
        <w:tc>
          <w:tcPr>
            <w:tcW w:type="dxa" w:w="864"/>
          </w:tcPr>
          <w:p>
            <w:r/>
            <w:r>
              <w:rPr>
                <w:sz w:val="15"/>
              </w:rPr>
              <w:t>4.8%</w:t>
            </w:r>
          </w:p>
        </w:tc>
        <w:tc>
          <w:tcPr>
            <w:tcW w:type="dxa" w:w="864"/>
          </w:tcPr>
          <w:p>
            <w:r/>
            <w:r>
              <w:rPr>
                <w:sz w:val="15"/>
              </w:rPr>
              <w:t>2.5%</w:t>
            </w:r>
          </w:p>
        </w:tc>
      </w:tr>
      <w:tr>
        <w:tc>
          <w:tcPr>
            <w:tcW w:type="dxa" w:w="1584"/>
          </w:tcPr>
          <w:p>
            <w:r/>
            <w:r>
              <w:rPr>
                <w:sz w:val="15"/>
              </w:rPr>
              <w:t>wa_southwest</w:t>
            </w:r>
          </w:p>
        </w:tc>
        <w:tc>
          <w:tcPr>
            <w:tcW w:type="dxa" w:w="792"/>
          </w:tcPr>
          <w:p>
            <w:r/>
            <w:r>
              <w:rPr>
                <w:sz w:val="15"/>
              </w:rPr>
              <w:t>26,111</w:t>
            </w:r>
          </w:p>
        </w:tc>
        <w:tc>
          <w:tcPr>
            <w:tcW w:type="dxa" w:w="576"/>
          </w:tcPr>
          <w:p>
            <w:r/>
            <w:r>
              <w:rPr>
                <w:sz w:val="15"/>
              </w:rPr>
              <w:t>6.0</w:t>
            </w:r>
          </w:p>
        </w:tc>
        <w:tc>
          <w:tcPr>
            <w:tcW w:type="dxa" w:w="792"/>
          </w:tcPr>
          <w:p>
            <w:r/>
            <w:r>
              <w:rPr>
                <w:sz w:val="15"/>
              </w:rPr>
              <w:t>34.1</w:t>
            </w:r>
          </w:p>
        </w:tc>
        <w:tc>
          <w:tcPr>
            <w:tcW w:type="dxa" w:w="720"/>
          </w:tcPr>
          <w:p>
            <w:r/>
            <w:r>
              <w:rPr>
                <w:sz w:val="15"/>
              </w:rPr>
              <w:t>135.5</w:t>
            </w:r>
          </w:p>
        </w:tc>
        <w:tc>
          <w:tcPr>
            <w:tcW w:type="dxa" w:w="720"/>
          </w:tcPr>
          <w:p>
            <w:r/>
            <w:r>
              <w:rPr>
                <w:sz w:val="15"/>
              </w:rPr>
              <w:t>76.4</w:t>
            </w:r>
          </w:p>
        </w:tc>
        <w:tc>
          <w:tcPr>
            <w:tcW w:type="dxa" w:w="720"/>
          </w:tcPr>
          <w:p>
            <w:r/>
            <w:r>
              <w:rPr>
                <w:sz w:val="15"/>
              </w:rPr>
              <w:t>1.88</w:t>
            </w:r>
          </w:p>
        </w:tc>
        <w:tc>
          <w:tcPr>
            <w:tcW w:type="dxa" w:w="576"/>
          </w:tcPr>
          <w:p>
            <w:r/>
            <w:r>
              <w:rPr>
                <w:sz w:val="15"/>
              </w:rPr>
              <w:t>0.70</w:t>
            </w:r>
          </w:p>
        </w:tc>
        <w:tc>
          <w:tcPr>
            <w:tcW w:type="dxa" w:w="864"/>
          </w:tcPr>
          <w:p>
            <w:r/>
            <w:r>
              <w:rPr>
                <w:sz w:val="15"/>
              </w:rPr>
              <w:t>22.0%</w:t>
            </w:r>
          </w:p>
        </w:tc>
        <w:tc>
          <w:tcPr>
            <w:tcW w:type="dxa" w:w="864"/>
          </w:tcPr>
          <w:p>
            <w:r/>
            <w:r>
              <w:rPr>
                <w:sz w:val="15"/>
              </w:rPr>
              <w:t>16.2%</w:t>
            </w:r>
          </w:p>
        </w:tc>
        <w:tc>
          <w:tcPr>
            <w:tcW w:type="dxa" w:w="864"/>
          </w:tcPr>
          <w:p>
            <w:r/>
            <w:r>
              <w:rPr>
                <w:sz w:val="15"/>
              </w:rPr>
              <w:t>5.7%</w:t>
            </w:r>
          </w:p>
        </w:tc>
        <w:tc>
          <w:tcPr>
            <w:tcW w:type="dxa" w:w="864"/>
          </w:tcPr>
          <w:p>
            <w:r/>
            <w:r>
              <w:rPr>
                <w:sz w:val="15"/>
              </w:rPr>
              <w:t>4.0%</w:t>
            </w:r>
          </w:p>
        </w:tc>
      </w:tr>
    </w:tbl>
    <w:p>
      <w:pPr>
        <w:spacing w:after="40"/>
      </w:pPr>
    </w:p>
    <w:p>
      <w:pPr>
        <w:spacing w:after="140" w:line="271" w:lineRule="auto"/>
      </w:pPr>
      <w:r>
        <w:rPr>
          <w:i w:val="0"/>
          <w:color w:val="606060"/>
          <w:sz w:val="18"/>
        </w:rPr>
        <w:t>Fire-excluded cells; FPI, M′, GEDI p95 and M′/p95 are medians; ρ is Spearman M′ (New_M_2019) against GEDI p95; EBF is evergreen broadleaf. Sorted by p95 exceedance against New_M_2019.</w:t>
      </w:r>
    </w:p>
    <w:p>
      <w:pPr>
        <w:spacing w:after="140" w:line="271" w:lineRule="auto"/>
      </w:pPr>
      <w:r>
        <w:rPr>
          <w:i w:val="0"/>
          <w:color w:val="1A1A1A"/>
          <w:sz w:val="21"/>
        </w:rPr>
        <w:t>The regions differ more than the layers do. In vic_central and nsw_north_seqld, GEDI p95 exceeds New_M_2019 in more than 60% of cells and the typical cell's M′ is only 0.82 and 0.76 of its GEDI p95. In vic_gippsland and wa_southwest, exceedance is 30.1% and 22.0%, and M′ is 1.56× and 1.88× GEDI p95: these boxes hold the fewest closed evergreen broadleaf cells (27.4% and 34.1%), and wa_southwest's median GEDI cell mean is only 20.2 t DM/ha, because most of it is cleared wheatbelt or open woodland. The ranking of cells is weakest in nsw_southeast (ρ = 0.20), where M′ and GEDI p95 have almost the same median but agree poorly cell by cell. baseline_M lowers exceedance in every region, by 5.4 to 11.2 percentage points, without changing the order of the regions.</w:t>
      </w:r>
    </w:p>
    <w:p>
      <w:pPr>
        <w:jc w:val="center"/>
      </w:pPr>
      <w:r>
        <w:drawing>
          <wp:inline xmlns:a="http://schemas.openxmlformats.org/drawingml/2006/main" xmlns:pic="http://schemas.openxmlformats.org/drawingml/2006/picture">
            <wp:extent cx="5760720" cy="2198859"/>
            <wp:docPr id="3" name="Picture 3"/>
            <wp:cNvGraphicFramePr>
              <a:graphicFrameLocks noChangeAspect="1"/>
            </wp:cNvGraphicFramePr>
            <a:graphic>
              <a:graphicData uri="http://schemas.openxmlformats.org/drawingml/2006/picture">
                <pic:pic>
                  <pic:nvPicPr>
                    <pic:cNvPr id="0" name="fig5_exceedance_by_region.png"/>
                    <pic:cNvPicPr/>
                  </pic:nvPicPr>
                  <pic:blipFill>
                    <a:blip r:embed="rId11"/>
                    <a:stretch>
                      <a:fillRect/>
                    </a:stretch>
                  </pic:blipFill>
                  <pic:spPr>
                    <a:xfrm>
                      <a:off x="0" y="0"/>
                      <a:ext cx="5760720" cy="2198859"/>
                    </a:xfrm>
                    <a:prstGeom prst="rect"/>
                  </pic:spPr>
                </pic:pic>
              </a:graphicData>
            </a:graphic>
          </wp:inline>
        </w:drawing>
      </w:r>
    </w:p>
    <w:p>
      <w:pPr>
        <w:spacing w:after="240" w:line="271" w:lineRule="auto"/>
      </w:pPr>
      <w:r>
        <w:rPr>
          <w:i/>
          <w:color w:val="606060"/>
          <w:sz w:val="18"/>
        </w:rPr>
        <w:t>Figure 5. Share of fire-excluded cells where GEDI exceeds M′, by region. Left: fixed-n p95. Right: cell mean.</w:t>
      </w:r>
    </w:p>
    <w:p>
      <w:pPr>
        <w:pStyle w:val="Heading2"/>
      </w:pPr>
      <w:r>
        <w:rPr>
          <w:color w:val="0B3D62"/>
        </w:rPr>
        <w:t>4.6 Where</w:t>
      </w:r>
    </w:p>
    <w:p>
      <w:pPr>
        <w:jc w:val="center"/>
      </w:pPr>
      <w:r>
        <w:drawing>
          <wp:inline xmlns:a="http://schemas.openxmlformats.org/drawingml/2006/main" xmlns:pic="http://schemas.openxmlformats.org/drawingml/2006/picture">
            <wp:extent cx="5486400" cy="4358898"/>
            <wp:docPr id="4" name="Picture 4"/>
            <wp:cNvGraphicFramePr>
              <a:graphicFrameLocks noChangeAspect="1"/>
            </wp:cNvGraphicFramePr>
            <a:graphic>
              <a:graphicData uri="http://schemas.openxmlformats.org/drawingml/2006/picture">
                <pic:pic>
                  <pic:nvPicPr>
                    <pic:cNvPr id="0" name="fig3_map_p95_over_Mprime.png"/>
                    <pic:cNvPicPr/>
                  </pic:nvPicPr>
                  <pic:blipFill>
                    <a:blip r:embed="rId12"/>
                    <a:stretch>
                      <a:fillRect/>
                    </a:stretch>
                  </pic:blipFill>
                  <pic:spPr>
                    <a:xfrm>
                      <a:off x="0" y="0"/>
                      <a:ext cx="5486400" cy="4358898"/>
                    </a:xfrm>
                    <a:prstGeom prst="rect"/>
                  </pic:spPr>
                </pic:pic>
              </a:graphicData>
            </a:graphic>
          </wp:inline>
        </w:drawing>
      </w:r>
    </w:p>
    <w:p>
      <w:pPr>
        <w:spacing w:after="240" w:line="271" w:lineRule="auto"/>
      </w:pPr>
      <w:r>
        <w:rPr>
          <w:i/>
          <w:color w:val="606060"/>
          <w:sz w:val="18"/>
        </w:rPr>
        <w:t>Figure 3. log2(GEDI p95 / New_M_2019) per cell, one panel per region at its own scale. Red: GEDI above M′. Blue: GEDI below. Blank: fewer than 30 unburnt footprints, or outside NLUM. baseline_M gives the same pattern, paler.</w:t>
      </w:r>
    </w:p>
    <w:p>
      <w:pPr>
        <w:spacing w:after="140" w:line="271" w:lineRule="auto"/>
      </w:pPr>
      <w:r>
        <w:rPr>
          <w:i w:val="0"/>
          <w:color w:val="1A1A1A"/>
          <w:sz w:val="21"/>
        </w:rPr>
        <w:t>Within every region the red cells follow the forest, and the blue follows cleared land. In vic_central the red core lies over the Central Highlands and the Dandenong Ranges. In tasmania it lies over the north-west, the north-east and the southern forests, with blue over the Midlands and the Central Plateau. In wa_southwest only the far south-west corner, the karri and jarrah country, is red; the wheatbelt to the east is blue. In nsw_north_seqld the red is concentrated on the escarpment forests, and in vic_gippsland and nsw_southeast the blanks are the Black Summer fire scars. These place descriptions are read from the map, not computed.</w:t>
      </w:r>
    </w:p>
    <w:p>
      <w:pPr>
        <w:pStyle w:val="Heading2"/>
      </w:pPr>
      <w:r>
        <w:rPr>
          <w:color w:val="0B3D62"/>
        </w:rPr>
        <w:t>4.7 Response to FPI: the part that matters for the future</w:t>
      </w:r>
    </w:p>
    <w:tbl>
      <w:tblPr>
        <w:tblStyle w:val="LightGrid-Accent1"/>
        <w:tblW w:type="auto" w:w="0"/>
        <w:jc w:val="center"/>
        <w:tblLook w:firstColumn="1" w:firstRow="1" w:lastColumn="0" w:lastRow="0" w:noHBand="0" w:noVBand="1" w:val="04A0"/>
      </w:tblPr>
      <w:tblGrid>
        <w:gridCol w:w="1608"/>
        <w:gridCol w:w="1608"/>
        <w:gridCol w:w="1608"/>
        <w:gridCol w:w="1608"/>
        <w:gridCol w:w="1608"/>
        <w:gridCol w:w="1608"/>
      </w:tblGrid>
      <w:tr>
        <w:tc>
          <w:tcPr>
            <w:tcW w:type="dxa" w:w="2160"/>
          </w:tcPr>
          <w:p>
            <w:r/>
            <w:r>
              <w:rPr>
                <w:b/>
                <w:sz w:val="17"/>
              </w:rPr>
              <w:t>Layer</w:t>
            </w:r>
          </w:p>
        </w:tc>
        <w:tc>
          <w:tcPr>
            <w:tcW w:type="dxa" w:w="864"/>
          </w:tcPr>
          <w:p>
            <w:r/>
            <w:r>
              <w:rPr>
                <w:b/>
                <w:sz w:val="17"/>
              </w:rPr>
              <w:t>Cells</w:t>
            </w:r>
          </w:p>
        </w:tc>
        <w:tc>
          <w:tcPr>
            <w:tcW w:type="dxa" w:w="1872"/>
          </w:tcPr>
          <w:p>
            <w:r/>
            <w:r>
              <w:rPr>
                <w:b/>
                <w:sz w:val="17"/>
              </w:rPr>
              <w:t>M′ slope</w:t>
            </w:r>
          </w:p>
        </w:tc>
        <w:tc>
          <w:tcPr>
            <w:tcW w:type="dxa" w:w="1872"/>
          </w:tcPr>
          <w:p>
            <w:r/>
            <w:r>
              <w:rPr>
                <w:b/>
                <w:sz w:val="17"/>
              </w:rPr>
              <w:t>GEDI p95 slope</w:t>
            </w:r>
          </w:p>
        </w:tc>
        <w:tc>
          <w:tcPr>
            <w:tcW w:type="dxa" w:w="1872"/>
          </w:tcPr>
          <w:p>
            <w:r/>
            <w:r>
              <w:rPr>
                <w:b/>
                <w:sz w:val="17"/>
              </w:rPr>
              <w:t>GEDI mean slope</w:t>
            </w:r>
          </w:p>
        </w:tc>
        <w:tc>
          <w:tcPr>
            <w:tcW w:type="dxa" w:w="1440"/>
          </w:tcPr>
          <w:p>
            <w:r/>
            <w:r>
              <w:rPr>
                <w:b/>
                <w:sz w:val="17"/>
              </w:rPr>
              <w:t>Eq. (1) at median FPI</w:t>
            </w:r>
          </w:p>
        </w:tc>
      </w:tr>
      <w:tr>
        <w:tc>
          <w:tcPr>
            <w:tcW w:type="dxa" w:w="2160"/>
          </w:tcPr>
          <w:p>
            <w:r/>
            <w:r>
              <w:rPr>
                <w:sz w:val="17"/>
              </w:rPr>
              <w:t>New_M_2019</w:t>
            </w:r>
          </w:p>
        </w:tc>
        <w:tc>
          <w:tcPr>
            <w:tcW w:type="dxa" w:w="864"/>
          </w:tcPr>
          <w:p>
            <w:r/>
            <w:r>
              <w:rPr>
                <w:sz w:val="17"/>
              </w:rPr>
              <w:t>79,527</w:t>
            </w:r>
          </w:p>
        </w:tc>
        <w:tc>
          <w:tcPr>
            <w:tcW w:type="dxa" w:w="1872"/>
          </w:tcPr>
          <w:p>
            <w:r/>
            <w:r>
              <w:rPr>
                <w:sz w:val="17"/>
              </w:rPr>
              <w:t>1.16 [1.15, 1.17]</w:t>
            </w:r>
          </w:p>
        </w:tc>
        <w:tc>
          <w:tcPr>
            <w:tcW w:type="dxa" w:w="1872"/>
          </w:tcPr>
          <w:p>
            <w:r/>
            <w:r>
              <w:rPr>
                <w:sz w:val="17"/>
              </w:rPr>
              <w:t>1.66 [1.64, 1.69]</w:t>
            </w:r>
          </w:p>
        </w:tc>
        <w:tc>
          <w:tcPr>
            <w:tcW w:type="dxa" w:w="1872"/>
          </w:tcPr>
          <w:p>
            <w:r/>
            <w:r>
              <w:rPr>
                <w:sz w:val="17"/>
              </w:rPr>
              <w:t>1.81 [1.78, 1.84]</w:t>
            </w:r>
          </w:p>
        </w:tc>
        <w:tc>
          <w:tcPr>
            <w:tcW w:type="dxa" w:w="1440"/>
          </w:tcPr>
          <w:p>
            <w:r/>
            <w:r>
              <w:rPr>
                <w:sz w:val="17"/>
              </w:rPr>
              <w:t>1.36</w:t>
            </w:r>
          </w:p>
        </w:tc>
      </w:tr>
      <w:tr>
        <w:tc>
          <w:tcPr>
            <w:tcW w:type="dxa" w:w="2160"/>
          </w:tcPr>
          <w:p>
            <w:r/>
            <w:r>
              <w:rPr>
                <w:sz w:val="17"/>
              </w:rPr>
              <w:t>baseline_M_1985-2014</w:t>
            </w:r>
          </w:p>
        </w:tc>
        <w:tc>
          <w:tcPr>
            <w:tcW w:type="dxa" w:w="864"/>
          </w:tcPr>
          <w:p>
            <w:r/>
            <w:r>
              <w:rPr>
                <w:sz w:val="17"/>
              </w:rPr>
              <w:t>79,527</w:t>
            </w:r>
          </w:p>
        </w:tc>
        <w:tc>
          <w:tcPr>
            <w:tcW w:type="dxa" w:w="1872"/>
          </w:tcPr>
          <w:p>
            <w:r/>
            <w:r>
              <w:rPr>
                <w:sz w:val="17"/>
              </w:rPr>
              <w:t>1.00 [0.99, 1.01]</w:t>
            </w:r>
          </w:p>
        </w:tc>
        <w:tc>
          <w:tcPr>
            <w:tcW w:type="dxa" w:w="1872"/>
          </w:tcPr>
          <w:p>
            <w:r/>
            <w:r>
              <w:rPr>
                <w:sz w:val="17"/>
              </w:rPr>
              <w:t>1.66 [1.64, 1.69]</w:t>
            </w:r>
          </w:p>
        </w:tc>
        <w:tc>
          <w:tcPr>
            <w:tcW w:type="dxa" w:w="1872"/>
          </w:tcPr>
          <w:p>
            <w:r/>
            <w:r>
              <w:rPr>
                <w:sz w:val="17"/>
              </w:rPr>
              <w:t>1.81 [1.78, 1.84]</w:t>
            </w:r>
          </w:p>
        </w:tc>
        <w:tc>
          <w:tcPr>
            <w:tcW w:type="dxa" w:w="1440"/>
          </w:tcPr>
          <w:p>
            <w:r/>
            <w:r>
              <w:rPr>
                <w:sz w:val="17"/>
              </w:rPr>
              <w:t>1.36</w:t>
            </w:r>
          </w:p>
        </w:tc>
      </w:tr>
    </w:tbl>
    <w:p>
      <w:pPr>
        <w:spacing w:after="40"/>
      </w:pPr>
    </w:p>
    <w:p>
      <w:pPr>
        <w:spacing w:after="140" w:line="271" w:lineRule="auto"/>
      </w:pPr>
      <w:r>
        <w:rPr>
          <w:i w:val="0"/>
          <w:color w:val="606060"/>
          <w:sz w:val="20"/>
        </w:rPr>
        <w:t>Slopes are ordinary least squares of ln(y) on ln(FPI) across cells where at least 90% of footprints are evergreen broadleaf, with 500-resample bootstrap 95% intervals. These intervals ignore spatial autocorrelation and are too narrow; the national analysis showed such intervals can be disjoint between runs. Compare them only to one decimal place.</w:t>
      </w:r>
    </w:p>
    <w:p>
      <w:pPr>
        <w:jc w:val="center"/>
      </w:pPr>
      <w:r>
        <w:drawing>
          <wp:inline xmlns:a="http://schemas.openxmlformats.org/drawingml/2006/main" xmlns:pic="http://schemas.openxmlformats.org/drawingml/2006/picture">
            <wp:extent cx="4754880" cy="2786517"/>
            <wp:docPr id="5" name="Picture 5"/>
            <wp:cNvGraphicFramePr>
              <a:graphicFrameLocks noChangeAspect="1"/>
            </wp:cNvGraphicFramePr>
            <a:graphic>
              <a:graphicData uri="http://schemas.openxmlformats.org/drawingml/2006/picture">
                <pic:pic>
                  <pic:nvPicPr>
                    <pic:cNvPr id="0" name="fig4_fpi_elasticity_index.png"/>
                    <pic:cNvPicPr/>
                  </pic:nvPicPr>
                  <pic:blipFill>
                    <a:blip r:embed="rId13"/>
                    <a:stretch>
                      <a:fillRect/>
                    </a:stretch>
                  </pic:blipFill>
                  <pic:spPr>
                    <a:xfrm>
                      <a:off x="0" y="0"/>
                      <a:ext cx="4754880" cy="2786517"/>
                    </a:xfrm>
                    <a:prstGeom prst="rect"/>
                  </pic:spPr>
                </pic:pic>
              </a:graphicData>
            </a:graphic>
          </wp:inline>
        </w:drawing>
      </w:r>
    </w:p>
    <w:p>
      <w:pPr>
        <w:spacing w:after="240" w:line="271" w:lineRule="auto"/>
      </w:pPr>
      <w:r>
        <w:rPr>
          <w:i/>
          <w:color w:val="606060"/>
          <w:sz w:val="18"/>
        </w:rPr>
        <w:t>Figure 4. Median of each quantity by 1-unit FPI bin, indexed to 100 at FPI 10-11, log scale, in cells where at least 90% of footprints are evergreen broadleaf, all six regions pooled. The dotted line is the shape Eq. (1) imposes on future change.</w:t>
      </w:r>
    </w:p>
    <w:tbl>
      <w:tblPr>
        <w:tblStyle w:val="LightGrid-Accent1"/>
        <w:tblW w:type="auto" w:w="0"/>
        <w:jc w:val="center"/>
        <w:tblLook w:firstColumn="1" w:firstRow="1" w:lastColumn="0" w:lastRow="0" w:noHBand="0" w:noVBand="1" w:val="04A0"/>
      </w:tblPr>
      <w:tblGrid>
        <w:gridCol w:w="1608"/>
        <w:gridCol w:w="1608"/>
        <w:gridCol w:w="1608"/>
        <w:gridCol w:w="1608"/>
        <w:gridCol w:w="1608"/>
        <w:gridCol w:w="1608"/>
      </w:tblGrid>
      <w:tr>
        <w:tc>
          <w:tcPr>
            <w:tcW w:type="dxa" w:w="2016"/>
          </w:tcPr>
          <w:p>
            <w:r/>
            <w:r>
              <w:rPr>
                <w:b/>
                <w:sz w:val="17"/>
              </w:rPr>
              <w:t>Region</w:t>
            </w:r>
          </w:p>
        </w:tc>
        <w:tc>
          <w:tcPr>
            <w:tcW w:type="dxa" w:w="1152"/>
          </w:tcPr>
          <w:p>
            <w:r/>
            <w:r>
              <w:rPr>
                <w:b/>
                <w:sz w:val="17"/>
              </w:rPr>
              <w:t>EBF cells</w:t>
            </w:r>
          </w:p>
        </w:tc>
        <w:tc>
          <w:tcPr>
            <w:tcW w:type="dxa" w:w="1584"/>
          </w:tcPr>
          <w:p>
            <w:r/>
            <w:r>
              <w:rPr>
                <w:b/>
                <w:sz w:val="17"/>
              </w:rPr>
              <w:t>New_M_2019 slope</w:t>
            </w:r>
          </w:p>
        </w:tc>
        <w:tc>
          <w:tcPr>
            <w:tcW w:type="dxa" w:w="1584"/>
          </w:tcPr>
          <w:p>
            <w:r/>
            <w:r>
              <w:rPr>
                <w:b/>
                <w:sz w:val="17"/>
              </w:rPr>
              <w:t>baseline_M slope</w:t>
            </w:r>
          </w:p>
        </w:tc>
        <w:tc>
          <w:tcPr>
            <w:tcW w:type="dxa" w:w="1584"/>
          </w:tcPr>
          <w:p>
            <w:r/>
            <w:r>
              <w:rPr>
                <w:b/>
                <w:sz w:val="17"/>
              </w:rPr>
              <w:t>GEDI p95 slope</w:t>
            </w:r>
          </w:p>
        </w:tc>
        <w:tc>
          <w:tcPr>
            <w:tcW w:type="dxa" w:w="1584"/>
          </w:tcPr>
          <w:p>
            <w:r/>
            <w:r>
              <w:rPr>
                <w:b/>
                <w:sz w:val="17"/>
              </w:rPr>
              <w:t>Eq. (1) at median FPI</w:t>
            </w:r>
          </w:p>
        </w:tc>
      </w:tr>
      <w:tr>
        <w:tc>
          <w:tcPr>
            <w:tcW w:type="dxa" w:w="2016"/>
          </w:tcPr>
          <w:p>
            <w:r/>
            <w:r>
              <w:rPr>
                <w:sz w:val="17"/>
              </w:rPr>
              <w:t>vic_central</w:t>
            </w:r>
          </w:p>
        </w:tc>
        <w:tc>
          <w:tcPr>
            <w:tcW w:type="dxa" w:w="1152"/>
          </w:tcPr>
          <w:p>
            <w:r/>
            <w:r>
              <w:rPr>
                <w:sz w:val="17"/>
              </w:rPr>
              <w:t>7,558</w:t>
            </w:r>
          </w:p>
        </w:tc>
        <w:tc>
          <w:tcPr>
            <w:tcW w:type="dxa" w:w="1584"/>
          </w:tcPr>
          <w:p>
            <w:r/>
            <w:r>
              <w:rPr>
                <w:sz w:val="17"/>
              </w:rPr>
              <w:t>2.63</w:t>
            </w:r>
          </w:p>
        </w:tc>
        <w:tc>
          <w:tcPr>
            <w:tcW w:type="dxa" w:w="1584"/>
          </w:tcPr>
          <w:p>
            <w:r/>
            <w:r>
              <w:rPr>
                <w:sz w:val="17"/>
              </w:rPr>
              <w:t>2.31</w:t>
            </w:r>
          </w:p>
        </w:tc>
        <w:tc>
          <w:tcPr>
            <w:tcW w:type="dxa" w:w="1584"/>
          </w:tcPr>
          <w:p>
            <w:r/>
            <w:r>
              <w:rPr>
                <w:sz w:val="17"/>
              </w:rPr>
              <w:t>2.81</w:t>
            </w:r>
          </w:p>
        </w:tc>
        <w:tc>
          <w:tcPr>
            <w:tcW w:type="dxa" w:w="1584"/>
          </w:tcPr>
          <w:p>
            <w:r/>
            <w:r>
              <w:rPr>
                <w:sz w:val="17"/>
              </w:rPr>
              <w:t>1.34</w:t>
            </w:r>
          </w:p>
        </w:tc>
      </w:tr>
      <w:tr>
        <w:tc>
          <w:tcPr>
            <w:tcW w:type="dxa" w:w="2016"/>
          </w:tcPr>
          <w:p>
            <w:r/>
            <w:r>
              <w:rPr>
                <w:sz w:val="17"/>
              </w:rPr>
              <w:t>vic_gippsland</w:t>
            </w:r>
          </w:p>
        </w:tc>
        <w:tc>
          <w:tcPr>
            <w:tcW w:type="dxa" w:w="1152"/>
          </w:tcPr>
          <w:p>
            <w:r/>
            <w:r>
              <w:rPr>
                <w:sz w:val="17"/>
              </w:rPr>
              <w:t>1,412</w:t>
            </w:r>
          </w:p>
        </w:tc>
        <w:tc>
          <w:tcPr>
            <w:tcW w:type="dxa" w:w="1584"/>
          </w:tcPr>
          <w:p>
            <w:r/>
            <w:r>
              <w:rPr>
                <w:sz w:val="17"/>
              </w:rPr>
              <w:t>1.74</w:t>
            </w:r>
          </w:p>
        </w:tc>
        <w:tc>
          <w:tcPr>
            <w:tcW w:type="dxa" w:w="1584"/>
          </w:tcPr>
          <w:p>
            <w:r/>
            <w:r>
              <w:rPr>
                <w:sz w:val="17"/>
              </w:rPr>
              <w:t>1.65</w:t>
            </w:r>
          </w:p>
        </w:tc>
        <w:tc>
          <w:tcPr>
            <w:tcW w:type="dxa" w:w="1584"/>
          </w:tcPr>
          <w:p>
            <w:r/>
            <w:r>
              <w:rPr>
                <w:sz w:val="17"/>
              </w:rPr>
              <w:t>2.62</w:t>
            </w:r>
          </w:p>
        </w:tc>
        <w:tc>
          <w:tcPr>
            <w:tcW w:type="dxa" w:w="1584"/>
          </w:tcPr>
          <w:p>
            <w:r/>
            <w:r>
              <w:rPr>
                <w:sz w:val="17"/>
              </w:rPr>
              <w:t>1.36</w:t>
            </w:r>
          </w:p>
        </w:tc>
      </w:tr>
      <w:tr>
        <w:tc>
          <w:tcPr>
            <w:tcW w:type="dxa" w:w="2016"/>
          </w:tcPr>
          <w:p>
            <w:r/>
            <w:r>
              <w:rPr>
                <w:sz w:val="17"/>
              </w:rPr>
              <w:t>tasmania</w:t>
            </w:r>
          </w:p>
        </w:tc>
        <w:tc>
          <w:tcPr>
            <w:tcW w:type="dxa" w:w="1152"/>
          </w:tcPr>
          <w:p>
            <w:r/>
            <w:r>
              <w:rPr>
                <w:sz w:val="17"/>
              </w:rPr>
              <w:t>28,164</w:t>
            </w:r>
          </w:p>
        </w:tc>
        <w:tc>
          <w:tcPr>
            <w:tcW w:type="dxa" w:w="1584"/>
          </w:tcPr>
          <w:p>
            <w:r/>
            <w:r>
              <w:rPr>
                <w:sz w:val="17"/>
              </w:rPr>
              <w:t>1.78</w:t>
            </w:r>
          </w:p>
        </w:tc>
        <w:tc>
          <w:tcPr>
            <w:tcW w:type="dxa" w:w="1584"/>
          </w:tcPr>
          <w:p>
            <w:r/>
            <w:r>
              <w:rPr>
                <w:sz w:val="17"/>
              </w:rPr>
              <w:t>1.67</w:t>
            </w:r>
          </w:p>
        </w:tc>
        <w:tc>
          <w:tcPr>
            <w:tcW w:type="dxa" w:w="1584"/>
          </w:tcPr>
          <w:p>
            <w:r/>
            <w:r>
              <w:rPr>
                <w:sz w:val="17"/>
              </w:rPr>
              <w:t>2.21</w:t>
            </w:r>
          </w:p>
        </w:tc>
        <w:tc>
          <w:tcPr>
            <w:tcW w:type="dxa" w:w="1584"/>
          </w:tcPr>
          <w:p>
            <w:r/>
            <w:r>
              <w:rPr>
                <w:sz w:val="17"/>
              </w:rPr>
              <w:t>1.39</w:t>
            </w:r>
          </w:p>
        </w:tc>
      </w:tr>
      <w:tr>
        <w:tc>
          <w:tcPr>
            <w:tcW w:type="dxa" w:w="2016"/>
          </w:tcPr>
          <w:p>
            <w:r/>
            <w:r>
              <w:rPr>
                <w:sz w:val="17"/>
              </w:rPr>
              <w:t>nsw_southeast</w:t>
            </w:r>
          </w:p>
        </w:tc>
        <w:tc>
          <w:tcPr>
            <w:tcW w:type="dxa" w:w="1152"/>
          </w:tcPr>
          <w:p>
            <w:r/>
            <w:r>
              <w:rPr>
                <w:sz w:val="17"/>
              </w:rPr>
              <w:t>10,498</w:t>
            </w:r>
          </w:p>
        </w:tc>
        <w:tc>
          <w:tcPr>
            <w:tcW w:type="dxa" w:w="1584"/>
          </w:tcPr>
          <w:p>
            <w:r/>
            <w:r>
              <w:rPr>
                <w:sz w:val="17"/>
              </w:rPr>
              <w:t>1.38</w:t>
            </w:r>
          </w:p>
        </w:tc>
        <w:tc>
          <w:tcPr>
            <w:tcW w:type="dxa" w:w="1584"/>
          </w:tcPr>
          <w:p>
            <w:r/>
            <w:r>
              <w:rPr>
                <w:sz w:val="17"/>
              </w:rPr>
              <w:t>1.26</w:t>
            </w:r>
          </w:p>
        </w:tc>
        <w:tc>
          <w:tcPr>
            <w:tcW w:type="dxa" w:w="1584"/>
          </w:tcPr>
          <w:p>
            <w:r/>
            <w:r>
              <w:rPr>
                <w:sz w:val="17"/>
              </w:rPr>
              <w:t>1.27</w:t>
            </w:r>
          </w:p>
        </w:tc>
        <w:tc>
          <w:tcPr>
            <w:tcW w:type="dxa" w:w="1584"/>
          </w:tcPr>
          <w:p>
            <w:r/>
            <w:r>
              <w:rPr>
                <w:sz w:val="17"/>
              </w:rPr>
              <w:t>1.35</w:t>
            </w:r>
          </w:p>
        </w:tc>
      </w:tr>
      <w:tr>
        <w:tc>
          <w:tcPr>
            <w:tcW w:type="dxa" w:w="2016"/>
          </w:tcPr>
          <w:p>
            <w:r/>
            <w:r>
              <w:rPr>
                <w:sz w:val="17"/>
              </w:rPr>
              <w:t>nsw_north_seqld</w:t>
            </w:r>
          </w:p>
        </w:tc>
        <w:tc>
          <w:tcPr>
            <w:tcW w:type="dxa" w:w="1152"/>
          </w:tcPr>
          <w:p>
            <w:r/>
            <w:r>
              <w:rPr>
                <w:sz w:val="17"/>
              </w:rPr>
              <w:t>22,998</w:t>
            </w:r>
          </w:p>
        </w:tc>
        <w:tc>
          <w:tcPr>
            <w:tcW w:type="dxa" w:w="1584"/>
          </w:tcPr>
          <w:p>
            <w:r/>
            <w:r>
              <w:rPr>
                <w:sz w:val="17"/>
              </w:rPr>
              <w:t>1.60</w:t>
            </w:r>
          </w:p>
        </w:tc>
        <w:tc>
          <w:tcPr>
            <w:tcW w:type="dxa" w:w="1584"/>
          </w:tcPr>
          <w:p>
            <w:r/>
            <w:r>
              <w:rPr>
                <w:sz w:val="17"/>
              </w:rPr>
              <w:t>1.26</w:t>
            </w:r>
          </w:p>
        </w:tc>
        <w:tc>
          <w:tcPr>
            <w:tcW w:type="dxa" w:w="1584"/>
          </w:tcPr>
          <w:p>
            <w:r/>
            <w:r>
              <w:rPr>
                <w:sz w:val="17"/>
              </w:rPr>
              <w:t>1.83</w:t>
            </w:r>
          </w:p>
        </w:tc>
        <w:tc>
          <w:tcPr>
            <w:tcW w:type="dxa" w:w="1584"/>
          </w:tcPr>
          <w:p>
            <w:r/>
            <w:r>
              <w:rPr>
                <w:sz w:val="17"/>
              </w:rPr>
              <w:t>1.31</w:t>
            </w:r>
          </w:p>
        </w:tc>
      </w:tr>
      <w:tr>
        <w:tc>
          <w:tcPr>
            <w:tcW w:type="dxa" w:w="2016"/>
          </w:tcPr>
          <w:p>
            <w:r/>
            <w:r>
              <w:rPr>
                <w:sz w:val="17"/>
              </w:rPr>
              <w:t>wa_southwest</w:t>
            </w:r>
          </w:p>
        </w:tc>
        <w:tc>
          <w:tcPr>
            <w:tcW w:type="dxa" w:w="1152"/>
          </w:tcPr>
          <w:p>
            <w:r/>
            <w:r>
              <w:rPr>
                <w:sz w:val="17"/>
              </w:rPr>
              <w:t>8,897</w:t>
            </w:r>
          </w:p>
        </w:tc>
        <w:tc>
          <w:tcPr>
            <w:tcW w:type="dxa" w:w="1584"/>
          </w:tcPr>
          <w:p>
            <w:r/>
            <w:r>
              <w:rPr>
                <w:sz w:val="17"/>
              </w:rPr>
              <w:t>1.48</w:t>
            </w:r>
          </w:p>
        </w:tc>
        <w:tc>
          <w:tcPr>
            <w:tcW w:type="dxa" w:w="1584"/>
          </w:tcPr>
          <w:p>
            <w:r/>
            <w:r>
              <w:rPr>
                <w:sz w:val="17"/>
              </w:rPr>
              <w:t>1.40</w:t>
            </w:r>
          </w:p>
        </w:tc>
        <w:tc>
          <w:tcPr>
            <w:tcW w:type="dxa" w:w="1584"/>
          </w:tcPr>
          <w:p>
            <w:r/>
            <w:r>
              <w:rPr>
                <w:sz w:val="17"/>
              </w:rPr>
              <w:t>2.54</w:t>
            </w:r>
          </w:p>
        </w:tc>
        <w:tc>
          <w:tcPr>
            <w:tcW w:type="dxa" w:w="1584"/>
          </w:tcPr>
          <w:p>
            <w:r/>
            <w:r>
              <w:rPr>
                <w:sz w:val="17"/>
              </w:rPr>
              <w:t>1.47</w:t>
            </w:r>
          </w:p>
        </w:tc>
      </w:tr>
    </w:tbl>
    <w:p>
      <w:pPr>
        <w:spacing w:after="40"/>
      </w:pPr>
    </w:p>
    <w:p>
      <w:pPr>
        <w:spacing w:after="140" w:line="271" w:lineRule="auto"/>
      </w:pPr>
      <w:r>
        <w:rPr>
          <w:i w:val="0"/>
          <w:color w:val="1A1A1A"/>
          <w:sz w:val="21"/>
        </w:rPr>
        <w:t>Pooled over the regions, GEDI p95 rises with FPI at a log-log slope of 1.66 and the cell mean at 1.81, against 1.36 for Eq. (1) at the median FPI. Both M′ layers are flatter still (1.16 and 1.00), because their low-FPI cells sit high relative to GEDI (Figure 4). Within regions, GEDI is steeper than Eq. (1) in 5 of 6, from about equal in nsw_southeast to about twice as steep in vic_central. Figure 4 shows where the gap comes from: below FPI 10 GEDI falls away much faster than Eq. (1), and above FPI 10 the GEDI p95 curve follows the Eq. (1) shape closely. That matters because future change comes only from Eq. (1): a cell whose FPI falls 10% loses about 13.4% of M′ in the projection, while across space a 10% lower FPI goes with roughly 16.1% less GEDI p95 biomass.</w:t>
      </w:r>
    </w:p>
    <w:p>
      <w:pPr>
        <w:spacing w:after="80"/>
        <w:ind w:left="288"/>
      </w:pPr>
      <w:r>
        <w:rPr>
          <w:b/>
          <w:color w:val="9A6B11"/>
          <w:sz w:val="20"/>
        </w:rPr>
        <w:t>How far this can be pushed</w:t>
      </w:r>
    </w:p>
    <w:p>
      <w:pPr>
        <w:spacing w:after="200" w:line="271" w:lineRule="auto"/>
        <w:ind w:left="288"/>
      </w:pPr>
      <w:r>
        <w:rPr>
          <w:color w:val="1A1A1A"/>
          <w:sz w:val="21"/>
        </w:rPr>
        <w:t>Across space, high FPI also means different species, deeper soils, less clearing and older stands, and pooling six regions adds differences between regions on top. A space-for-time slope mixes all of them with the effect of productivity, and the low-FPI end, where the gap is, is also where clearing is most common. The result supports two claims: Eq. (1)'s response is not too steep, and the projected change is more likely conservative than exaggerated. It does not support replacing Eq. (1)'s elasticity with 1.7.</w:t>
      </w:r>
    </w:p>
    <w:p>
      <w:pPr>
        <w:pStyle w:val="Heading1"/>
      </w:pPr>
      <w:r>
        <w:rPr>
          <w:color w:val="0B3D62"/>
        </w:rPr>
        <w:t>5. What this means</w:t>
      </w:r>
    </w:p>
    <w:p>
      <w:pPr>
        <w:pStyle w:val="Heading2"/>
      </w:pPr>
      <w:r>
        <w:rPr>
          <w:color w:val="0B3D62"/>
        </w:rPr>
        <w:t>5.1 For present-day M′</w:t>
      </w:r>
    </w:p>
    <w:p>
      <w:pPr>
        <w:spacing w:after="140" w:line="271" w:lineRule="auto"/>
      </w:pPr>
      <w:r>
        <w:rPr>
          <w:i w:val="0"/>
          <w:color w:val="1A1A1A"/>
          <w:sz w:val="21"/>
        </w:rPr>
        <w:t>Whether M′ is too low depends on the forest. Pooled over the six regions, the typical (median) cell's M′ is 1.05 of its GEDI p95 for New_M_2019 and 1.26 for baseline_M, so on average M′ sits near the envelope. That average hides the split: in closed evergreen broadleaf cells GEDI p95 exceeds New_M_2019 in 66.1% of cells and the cell mean in 26.3%, while in cells that are mostly not evergreen broadleaf the figures are 17.1% and 1.5%. This agrees with every earlier independent comparison: L4B cell means, ESA CCI, and the L4A hotspots all found M′ too low as productivity rises. Three explanations remain open for the closed forest, and GEDI alone cannot separate them:</w:t>
      </w:r>
    </w:p>
    <w:p>
      <w:pPr>
        <w:pStyle w:val="ListBullet"/>
        <w:spacing w:after="80"/>
      </w:pPr>
      <w:r>
        <w:rPr>
          <w:color w:val="1A1A1A"/>
          <w:sz w:val="21"/>
        </w:rPr>
        <w:t>M′ really is too low in the most productive forests. Eq. (1) is a curve fitted across all of Australia, and tall wet eucalypt and rainforest are its extreme tail.</w:t>
      </w:r>
    </w:p>
    <w:p>
      <w:pPr>
        <w:pStyle w:val="ListBullet"/>
        <w:spacing w:after="80"/>
      </w:pPr>
      <w:r>
        <w:rPr>
          <w:color w:val="1A1A1A"/>
          <w:sz w:val="21"/>
        </w:rPr>
        <w:t>GEDI L4A reads high in this forest type. The L4A models for Australian evergreen broadleaf trees rest on a limited calibration set, and their bias in very tall eucalypt forest has not been checked here.</w:t>
      </w:r>
    </w:p>
    <w:p>
      <w:pPr>
        <w:pStyle w:val="ListBullet"/>
        <w:spacing w:after="80"/>
      </w:pPr>
      <w:r>
        <w:rPr>
          <w:color w:val="1A1A1A"/>
          <w:sz w:val="21"/>
        </w:rPr>
        <w:t>Definitions differ at the margin. M′ is maximum biomass of mature native vegetation per NLUM cell; a single 25 m footprint in a 70 m tall stand can exceed any area-average maximum without contradiction. That is why the cell-mean result, not the p95 result, is the stronger evidence.</w:t>
      </w:r>
    </w:p>
    <w:p>
      <w:pPr>
        <w:spacing w:after="140" w:line="271" w:lineRule="auto"/>
      </w:pPr>
      <w:r>
        <w:rPr>
          <w:i w:val="0"/>
          <w:color w:val="1A1A1A"/>
          <w:sz w:val="21"/>
        </w:rPr>
        <w:t>What would separate them: airborne lidar or field plots measured in the same cells (for example the Victorian Central Highlands long-term plots, Warra in Tasmania, or TERN sites), against which both M′ and L4A can be checked.</w:t>
      </w:r>
    </w:p>
    <w:p>
      <w:pPr>
        <w:pStyle w:val="Heading2"/>
      </w:pPr>
      <w:r>
        <w:rPr>
          <w:color w:val="0B3D62"/>
        </w:rPr>
        <w:t>5.2 Choosing between the two layers</w:t>
      </w:r>
    </w:p>
    <w:p>
      <w:pPr>
        <w:spacing w:after="140" w:line="271" w:lineRule="auto"/>
      </w:pPr>
      <w:r>
        <w:rPr>
          <w:i w:val="0"/>
          <w:color w:val="1A1A1A"/>
          <w:sz w:val="21"/>
        </w:rPr>
        <w:t>baseline_M exceeds GEDI less often, by about 7.1 percentage points at p95 and 3.8 on the mean. That should not decide the footing. baseline_M is higher because it combines Eq. (1) M with a λ that was divided by a different M. The footing memo shows this is a methodological inconsistency, not a better estimate. The ratio of the two layers is Eq1(FPI) / Original_M_2004, and in the compared cells it is ×1.17 (p10-p90 0.99-1.46; ×1.10 to ×1.18 by region), against ×1.46 nationally, so Eq. (1) overstates Original_M_2004 less in these forested regions than across Australia. The better fit here comes from a known error pointing the same way as GEDI's disagreement. The defensible choice remains Option B (New_M_2019 footing). The GEDI finding, that M′ is too low in tall forest, should be reported as a limitation of M′ on either footing.</w:t>
      </w:r>
    </w:p>
    <w:p>
      <w:pPr>
        <w:pStyle w:val="Heading2"/>
      </w:pPr>
      <w:r>
        <w:rPr>
          <w:color w:val="0B3D62"/>
        </w:rPr>
        <w:t>5.3 For future M′</w:t>
      </w:r>
    </w:p>
    <w:p>
      <w:pPr>
        <w:pStyle w:val="ListBullet"/>
        <w:spacing w:after="80"/>
      </w:pPr>
      <w:r>
        <w:rPr>
          <w:color w:val="1A1A1A"/>
          <w:sz w:val="21"/>
        </w:rPr>
        <w:t>Level: whatever is wrong with present-day M′ carries unchanged into every scenario, because the projection multiplies it. If M′ is too low by a factor k in tall forest today, future M′ is too low by about the same k. The projected percentage change is not affected.</w:t>
      </w:r>
    </w:p>
    <w:p>
      <w:pPr>
        <w:pStyle w:val="ListBullet"/>
        <w:spacing w:after="80"/>
      </w:pPr>
      <w:r>
        <w:rPr>
          <w:color w:val="1A1A1A"/>
          <w:sz w:val="21"/>
        </w:rPr>
        <w:t>Response: GEDI gives no sign that Eq. (1) exaggerates the response of biomass to FPI. GEDI is steeper in 5 of 6 regions and about equal in the other, so projected losses under drying scenarios are more likely to be understated than overstated, most of all in low-FPI forest.</w:t>
      </w:r>
    </w:p>
    <w:p>
      <w:pPr>
        <w:pStyle w:val="ListBullet"/>
        <w:spacing w:after="80"/>
      </w:pPr>
      <w:r>
        <w:rPr>
          <w:color w:val="1A1A1A"/>
          <w:sz w:val="21"/>
        </w:rPr>
        <w:t>Sign: M′ and GEDI agree on which cells hold more biomass in every region (ρ 0.20 to 0.74, pooled 0.52), so no projected change is built on a relationship running the wrong way. The agreement is weak in nsw_southeast.</w:t>
      </w:r>
    </w:p>
    <w:p>
      <w:pPr>
        <w:pStyle w:val="ListBullet"/>
        <w:spacing w:after="80"/>
      </w:pPr>
      <w:r>
        <w:rPr>
          <w:color w:val="1A1A1A"/>
          <w:sz w:val="21"/>
        </w:rPr>
        <w:t>Not tested: whether future FPI is right. That rests on the RF year-group cross-validation (R² 0.93) and on the QDC-CMIP6 climate inputs.</w:t>
      </w:r>
    </w:p>
    <w:p>
      <w:pPr>
        <w:pStyle w:val="Heading1"/>
      </w:pPr>
      <w:r>
        <w:rPr>
          <w:color w:val="0B3D62"/>
        </w:rPr>
        <w:t>6. Limitations</w:t>
      </w:r>
    </w:p>
    <w:p>
      <w:pPr>
        <w:pStyle w:val="ListBullet"/>
        <w:spacing w:after="80"/>
      </w:pPr>
      <w:r>
        <w:rPr>
          <w:color w:val="1A1A1A"/>
          <w:sz w:val="21"/>
        </w:rPr>
        <w:t>Six regions, chosen for forest, not a sample of Australia. The pooled rates depend on how much cleared land each box happens to contain, and pooled correlations and slopes mix differences between regions with differences within them. Inland woodland, the tropics and the arid zone are not tested.</w:t>
      </w:r>
    </w:p>
    <w:p>
      <w:pPr>
        <w:pStyle w:val="ListBullet"/>
        <w:spacing w:after="80"/>
      </w:pPr>
      <w:r>
        <w:rPr>
          <w:color w:val="1A1A1A"/>
          <w:sz w:val="21"/>
        </w:rPr>
        <w:t>Fire exclusion is not neutral: it removes 45.2% of cells in vic_gippsland and 39.3% in nsw_southeast, so the burnt forests of Black Summer are under-represented in the unburnt results.</w:t>
      </w:r>
    </w:p>
    <w:p>
      <w:pPr>
        <w:pStyle w:val="ListBullet"/>
        <w:spacing w:after="80"/>
      </w:pPr>
      <w:r>
        <w:rPr>
          <w:color w:val="1A1A1A"/>
          <w:sz w:val="21"/>
        </w:rPr>
        <w:t>GEDI L4A v2.1 is used; V3 (C4212593885-ORNL_CLOUD) now exists and may revise AGBD.</w:t>
      </w:r>
    </w:p>
    <w:p>
      <w:pPr>
        <w:pStyle w:val="ListBullet"/>
        <w:spacing w:after="80"/>
      </w:pPr>
      <w:r>
        <w:rPr>
          <w:color w:val="1A1A1A"/>
          <w:sz w:val="21"/>
        </w:rPr>
        <w:t>No protected-area mask. Logged and cleared cells pull GEDI down, so exceedance is if anything understated, but the forest-type and FPI tables are affected by land use.</w:t>
      </w:r>
    </w:p>
    <w:p>
      <w:pPr>
        <w:pStyle w:val="ListBullet"/>
        <w:spacing w:after="80"/>
      </w:pPr>
      <w:r>
        <w:rPr>
          <w:color w:val="1A1A1A"/>
          <w:sz w:val="21"/>
        </w:rPr>
        <w:t>The fire flag works at year resolution: a fire in December can flag a footprint from June of the same year, which is conservative. MODIS at 500 m misses small burns, and pre-2009 fires, including regrowth after 1983 and 1939, are not flagged.</w:t>
      </w:r>
    </w:p>
    <w:p>
      <w:pPr>
        <w:pStyle w:val="ListBullet"/>
        <w:spacing w:after="80"/>
      </w:pPr>
      <w:r>
        <w:rPr>
          <w:color w:val="1A1A1A"/>
          <w:sz w:val="21"/>
        </w:rPr>
        <w:t>The median relative agbd_se is small (about 14%) because it is the L4A prediction standard error, not the full footprint error. The lower-bound statistic is therefore less conservative than it looks.</w:t>
      </w:r>
    </w:p>
    <w:p>
      <w:pPr>
        <w:pStyle w:val="ListBullet"/>
        <w:spacing w:after="80"/>
      </w:pPr>
      <w:r>
        <w:rPr>
          <w:color w:val="1A1A1A"/>
          <w:sz w:val="21"/>
        </w:rPr>
        <w:t>Units are treated as equal (GEDI's Mg/ha AGBD = t DM/ha aboveground dry matter, since 1 Mg = 1 t). Neither product includes roots; stump and branch conventions are not reconciled.</w:t>
      </w:r>
    </w:p>
    <w:p>
      <w:pPr>
        <w:pStyle w:val="ListBullet"/>
        <w:spacing w:after="80"/>
      </w:pPr>
      <w:r>
        <w:rPr>
          <w:color w:val="1A1A1A"/>
          <w:sz w:val="21"/>
        </w:rPr>
        <w:t>Cells with fewer than 30 footprints are excluded, and they are not a random subset: they are where GEDI tracks are sparse or cloud is frequent.</w:t>
      </w:r>
    </w:p>
    <w:p>
      <w:pPr>
        <w:pStyle w:val="ListBullet"/>
        <w:spacing w:after="80"/>
      </w:pPr>
      <w:r>
        <w:rPr>
          <w:color w:val="1A1A1A"/>
          <w:sz w:val="21"/>
        </w:rPr>
        <w:t>Pipeline housekeeping: Step_0_download_data/ is deleted from the working tree, the CSIRO future download scripts are missing, and CLAUDE.md still names Step_0b_published_lambda/ and REVISED_ORIGINAL_M_2004/, which do not exist.</w:t>
      </w:r>
    </w:p>
    <w:p>
      <w:pPr>
        <w:pStyle w:val="Heading1"/>
      </w:pPr>
      <w:r>
        <w:rPr>
          <w:color w:val="0B3D62"/>
        </w:rPr>
        <w:t>7. Next steps</w:t>
      </w:r>
    </w:p>
    <w:p>
      <w:pPr>
        <w:pStyle w:val="ListNumber"/>
        <w:spacing w:after="80"/>
      </w:pPr>
      <w:r>
        <w:rPr>
          <w:color w:val="1A1A1A"/>
          <w:sz w:val="21"/>
        </w:rPr>
        <w:t>Replace the bootstrap intervals on the FPI slopes with a spatial block bootstrap, and fit slopes within regions before pooling, so that differences between regions do not drive the pooled slope.</w:t>
      </w:r>
    </w:p>
    <w:p>
      <w:pPr>
        <w:pStyle w:val="ListNumber"/>
        <w:spacing w:after="80"/>
      </w:pPr>
      <w:r>
        <w:rPr>
          <w:color w:val="1A1A1A"/>
          <w:sz w:val="21"/>
        </w:rPr>
        <w:t>Add NVIS forest fraction and a CAPAD protected-area flag to Step_04, so that clearing and logging can be separated from the envelope.</w:t>
      </w:r>
    </w:p>
    <w:p>
      <w:pPr>
        <w:pStyle w:val="ListNumber"/>
        <w:spacing w:after="80"/>
      </w:pPr>
      <w:r>
        <w:rPr>
          <w:color w:val="1A1A1A"/>
          <w:sz w:val="21"/>
        </w:rPr>
        <w:t>Repeat with GEDI L4A V3 on one region to measure the version effect.</w:t>
      </w:r>
    </w:p>
    <w:p>
      <w:pPr>
        <w:pStyle w:val="ListNumber"/>
        <w:spacing w:after="80"/>
      </w:pPr>
      <w:r>
        <w:rPr>
          <w:color w:val="1A1A1A"/>
          <w:sz w:val="21"/>
        </w:rPr>
        <w:t>Extend beyond the six forested boxes (inland woodland, the tropics) before quoting any rate as national.</w:t>
      </w:r>
    </w:p>
    <w:p>
      <w:pPr>
        <w:pStyle w:val="ListNumber"/>
        <w:spacing w:after="80"/>
      </w:pPr>
      <w:r>
        <w:rPr>
          <w:color w:val="1A1A1A"/>
          <w:sz w:val="21"/>
        </w:rPr>
        <w:t>Find an independent tall-forest reference (airborne lidar or plot biomass) to separate 'M′ too low' from 'L4A too high'.</w:t>
      </w:r>
    </w:p>
    <w:p>
      <w:pPr>
        <w:pStyle w:val="ListNumber"/>
        <w:spacing w:after="80"/>
      </w:pPr>
      <w:r>
        <w:rPr>
          <w:color w:val="1A1A1A"/>
          <w:sz w:val="21"/>
        </w:rPr>
        <w:t>Decide the footing (Option A or B) and the historical baseline order. Both change the numbers FullCAM receives more than anything GEDI can currently resolve.</w:t>
      </w:r>
    </w:p>
    <w:p>
      <w:pPr>
        <w:pStyle w:val="Heading1"/>
      </w:pPr>
      <w:r>
        <w:rPr>
          <w:color w:val="0B3D62"/>
        </w:rPr>
        <w:t>Appendix A. Reproducing this report</w:t>
      </w:r>
    </w:p>
    <w:p>
      <w:pPr>
        <w:spacing w:after="20"/>
        <w:ind w:left="432"/>
      </w:pPr>
      <w:r>
        <w:rPr>
          <w:rFonts w:ascii="Consolas" w:hAnsi="Consolas"/>
          <w:color w:val="222222"/>
          <w:sz w:val="17"/>
        </w:rPr>
        <w:t>cd Validation_GEDI</w:t>
      </w:r>
    </w:p>
    <w:p>
      <w:pPr>
        <w:spacing w:after="20"/>
        <w:ind w:left="432"/>
      </w:pPr>
      <w:r>
        <w:rPr>
          <w:rFonts w:ascii="Consolas" w:hAnsi="Consolas"/>
          <w:color w:val="222222"/>
          <w:sz w:val="17"/>
        </w:rPr>
        <w:t>set PY=C:\ProgramData\Anaconda3\envs\JinzhuLuto\python.exe</w:t>
      </w:r>
    </w:p>
    <w:p>
      <w:pPr>
        <w:spacing w:after="20"/>
        <w:ind w:left="432"/>
      </w:pPr>
      <w:r>
        <w:rPr>
          <w:rFonts w:ascii="Consolas" w:hAnsi="Consolas"/>
          <w:color w:val="222222"/>
          <w:sz w:val="17"/>
        </w:rPr>
        <w:t>%PY% Step_01_check_sources.py</w:t>
      </w:r>
    </w:p>
    <w:p>
      <w:pPr>
        <w:spacing w:after="20"/>
        <w:ind w:left="432"/>
      </w:pPr>
      <w:r>
        <w:rPr>
          <w:rFonts w:ascii="Consolas" w:hAnsi="Consolas"/>
          <w:color w:val="222222"/>
          <w:sz w:val="17"/>
        </w:rPr>
        <w:t>%PY% Step_02_build_fire_mask.py --start 2009-01-01</w:t>
      </w:r>
    </w:p>
    <w:p>
      <w:pPr>
        <w:spacing w:after="20"/>
        <w:ind w:left="432"/>
      </w:pPr>
      <w:r>
        <w:rPr>
          <w:rFonts w:ascii="Consolas" w:hAnsi="Consolas"/>
          <w:color w:val="222222"/>
          <w:sz w:val="17"/>
        </w:rPr>
        <w:t>%PY% Step_03_fetch_gedi.py</w:t>
      </w:r>
    </w:p>
    <w:p>
      <w:pPr>
        <w:spacing w:after="20"/>
        <w:ind w:left="432"/>
      </w:pPr>
      <w:r>
        <w:rPr>
          <w:rFonts w:ascii="Consolas" w:hAnsi="Consolas"/>
          <w:color w:val="222222"/>
          <w:sz w:val="17"/>
        </w:rPr>
        <w:t>%PY% Step_04_aggregate_cells.py --tag New_M_2019</w:t>
      </w:r>
    </w:p>
    <w:p>
      <w:pPr>
        <w:spacing w:after="20"/>
        <w:ind w:left="432"/>
      </w:pPr>
      <w:r>
        <w:rPr>
          <w:rFonts w:ascii="Consolas" w:hAnsi="Consolas"/>
          <w:color w:val="222222"/>
          <w:sz w:val="17"/>
        </w:rPr>
        <w:t>%PY% Step_04_aggregate_cells.py --tag baseline_M_1985-2014 ^</w:t>
      </w:r>
    </w:p>
    <w:p>
      <w:pPr>
        <w:spacing w:after="20"/>
        <w:ind w:left="432"/>
      </w:pPr>
      <w:r>
        <w:rPr>
          <w:rFonts w:ascii="Consolas" w:hAnsi="Consolas"/>
          <w:color w:val="222222"/>
          <w:sz w:val="17"/>
        </w:rPr>
        <w:t xml:space="preserve">    --mprime ..\Writing_paper_01\output\baseline_M_1985-2014.tif</w:t>
      </w:r>
    </w:p>
    <w:p>
      <w:pPr>
        <w:spacing w:after="20"/>
        <w:ind w:left="432"/>
      </w:pPr>
      <w:r>
        <w:rPr>
          <w:rFonts w:ascii="Consolas" w:hAnsi="Consolas"/>
          <w:color w:val="222222"/>
          <w:sz w:val="17"/>
        </w:rPr>
        <w:t>%PY% Step_05_analyse_vs_M.py</w:t>
      </w:r>
    </w:p>
    <w:p>
      <w:pPr>
        <w:spacing w:after="20"/>
        <w:ind w:left="432"/>
      </w:pPr>
      <w:r>
        <w:rPr>
          <w:rFonts w:ascii="Consolas" w:hAnsi="Consolas"/>
          <w:color w:val="222222"/>
          <w:sz w:val="17"/>
        </w:rPr>
        <w:t>%PY% make_validation_gedi_report.py</w:t>
      </w:r>
    </w:p>
    <w:p>
      <w:pPr>
        <w:spacing w:after="140" w:line="271" w:lineRule="auto"/>
      </w:pPr>
      <w:r>
        <w:rPr>
          <w:i w:val="0"/>
          <w:color w:val="606060"/>
          <w:sz w:val="20"/>
        </w:rPr>
        <w:t>Step_02 needs the zoenv environment present (only its gdal_translate.exe is used). Steps 02 and 03 need the Earthdata login in N:\Current-Users\ZOHREH-KALAHROUDI\.netrc. JinzhuLuto is used unmodified throughout.</w:t>
      </w:r>
    </w:p>
    <w:p>
      <w:pPr>
        <w:pStyle w:val="Heading1"/>
      </w:pPr>
      <w:r>
        <w:rPr>
          <w:color w:val="0B3D62"/>
        </w:rPr>
        <w:t>Appendix B. Output files</w:t>
      </w:r>
    </w:p>
    <w:tbl>
      <w:tblPr>
        <w:tblStyle w:val="LightGrid-Accent1"/>
        <w:tblW w:type="auto" w:w="0"/>
        <w:jc w:val="center"/>
        <w:tblLook w:firstColumn="1" w:firstRow="1" w:lastColumn="0" w:lastRow="0" w:noHBand="0" w:noVBand="1" w:val="04A0"/>
      </w:tblPr>
      <w:tblGrid>
        <w:gridCol w:w="4824"/>
        <w:gridCol w:w="4824"/>
      </w:tblGrid>
      <w:tr>
        <w:tc>
          <w:tcPr>
            <w:tcW w:type="dxa" w:w="4896"/>
          </w:tcPr>
          <w:p>
            <w:r/>
            <w:r>
              <w:rPr>
                <w:b/>
                <w:sz w:val="17"/>
              </w:rPr>
              <w:t>File</w:t>
            </w:r>
          </w:p>
        </w:tc>
        <w:tc>
          <w:tcPr>
            <w:tcW w:type="dxa" w:w="4752"/>
          </w:tcPr>
          <w:p>
            <w:r/>
            <w:r>
              <w:rPr>
                <w:b/>
                <w:sz w:val="17"/>
              </w:rPr>
              <w:t>Contents</w:t>
            </w:r>
          </w:p>
        </w:tc>
      </w:tr>
      <w:tr>
        <w:tc>
          <w:tcPr>
            <w:tcW w:type="dxa" w:w="4896"/>
          </w:tcPr>
          <w:p>
            <w:r/>
            <w:r>
              <w:rPr>
                <w:sz w:val="17"/>
              </w:rPr>
              <w:t>fire/burn_year_2009..2025.tif, last_burn_year.tif</w:t>
            </w:r>
          </w:p>
        </w:tc>
        <w:tc>
          <w:tcPr>
            <w:tcW w:type="dxa" w:w="4752"/>
          </w:tcPr>
          <w:p>
            <w:r/>
            <w:r>
              <w:rPr>
                <w:sz w:val="17"/>
              </w:rPr>
              <w:t>Fire mask, NLUM grid</w:t>
            </w:r>
          </w:p>
        </w:tc>
      </w:tr>
      <w:tr>
        <w:tc>
          <w:tcPr>
            <w:tcW w:type="dxa" w:w="4896"/>
          </w:tcPr>
          <w:p>
            <w:r/>
            <w:r>
              <w:rPr>
                <w:sz w:val="17"/>
              </w:rPr>
              <w:t>outputs/gedi_parts/&lt;region&gt;/*.parquet</w:t>
            </w:r>
          </w:p>
        </w:tc>
        <w:tc>
          <w:tcPr>
            <w:tcW w:type="dxa" w:w="4752"/>
          </w:tcPr>
          <w:p>
            <w:r/>
            <w:r>
              <w:rPr>
                <w:sz w:val="17"/>
              </w:rPr>
              <w:t>Per-granule footprint checkpoints, six regions (4,559 granules)</w:t>
            </w:r>
          </w:p>
        </w:tc>
      </w:tr>
      <w:tr>
        <w:tc>
          <w:tcPr>
            <w:tcW w:type="dxa" w:w="4896"/>
          </w:tcPr>
          <w:p>
            <w:r/>
            <w:r>
              <w:rPr>
                <w:sz w:val="17"/>
              </w:rPr>
              <w:t>outputs/gedi_l4a_footprints.parquet</w:t>
            </w:r>
          </w:p>
        </w:tc>
        <w:tc>
          <w:tcPr>
            <w:tcW w:type="dxa" w:w="4752"/>
          </w:tcPr>
          <w:p>
            <w:r/>
            <w:r>
              <w:rPr>
                <w:sz w:val="17"/>
              </w:rPr>
              <w:t>All filtered footprints with NLUM cell ids</w:t>
            </w:r>
          </w:p>
        </w:tc>
      </w:tr>
      <w:tr>
        <w:tc>
          <w:tcPr>
            <w:tcW w:type="dxa" w:w="4896"/>
          </w:tcPr>
          <w:p>
            <w:r/>
            <w:r>
              <w:rPr>
                <w:sz w:val="17"/>
              </w:rPr>
              <w:t>outputs/gedi_fetch_manifest.csv</w:t>
            </w:r>
          </w:p>
        </w:tc>
        <w:tc>
          <w:tcPr>
            <w:tcW w:type="dxa" w:w="4752"/>
          </w:tcPr>
          <w:p>
            <w:r/>
            <w:r>
              <w:rPr>
                <w:sz w:val="17"/>
              </w:rPr>
              <w:t>Footprints per granule</w:t>
            </w:r>
          </w:p>
        </w:tc>
      </w:tr>
      <w:tr>
        <w:tc>
          <w:tcPr>
            <w:tcW w:type="dxa" w:w="4896"/>
          </w:tcPr>
          <w:p>
            <w:r/>
            <w:r>
              <w:rPr>
                <w:sz w:val="17"/>
              </w:rPr>
              <w:t>outputs/gedi_cells_{all,unburnt}_{New_M_2019,baseline_M_1985-2014}.csv</w:t>
            </w:r>
          </w:p>
        </w:tc>
        <w:tc>
          <w:tcPr>
            <w:tcW w:type="dxa" w:w="4752"/>
          </w:tcPr>
          <w:p>
            <w:r/>
            <w:r>
              <w:rPr>
                <w:sz w:val="17"/>
              </w:rPr>
              <w:t>Per-cell GEDI statistics with M′ and FPI</w:t>
            </w:r>
          </w:p>
        </w:tc>
      </w:tr>
      <w:tr>
        <w:tc>
          <w:tcPr>
            <w:tcW w:type="dxa" w:w="4896"/>
          </w:tcPr>
          <w:p>
            <w:r/>
            <w:r>
              <w:rPr>
                <w:sz w:val="17"/>
              </w:rPr>
              <w:t>outputs/analysis/*.csv</w:t>
            </w:r>
          </w:p>
        </w:tc>
        <w:tc>
          <w:tcPr>
            <w:tcW w:type="dxa" w:w="4752"/>
          </w:tcPr>
          <w:p>
            <w:r/>
            <w:r>
              <w:rPr>
                <w:sz w:val="17"/>
              </w:rPr>
              <w:t>Every table in Section 4 (by_region.csv, footprints_by_region.csv and layer_ratio_by_region.csv per region)</w:t>
            </w:r>
          </w:p>
        </w:tc>
      </w:tr>
      <w:tr>
        <w:tc>
          <w:tcPr>
            <w:tcW w:type="dxa" w:w="4896"/>
          </w:tcPr>
          <w:p>
            <w:r/>
            <w:r>
              <w:rPr>
                <w:sz w:val="17"/>
              </w:rPr>
              <w:t>outputs/figures/fig1-5*.png</w:t>
            </w:r>
          </w:p>
        </w:tc>
        <w:tc>
          <w:tcPr>
            <w:tcW w:type="dxa" w:w="4752"/>
          </w:tcPr>
          <w:p>
            <w:r/>
            <w:r>
              <w:rPr>
                <w:sz w:val="17"/>
              </w:rPr>
              <w:t>Figures 1-5</w:t>
            </w:r>
          </w:p>
        </w:tc>
      </w:tr>
      <w:tr>
        <w:tc>
          <w:tcPr>
            <w:tcW w:type="dxa" w:w="4896"/>
          </w:tcPr>
          <w:p>
            <w:r/>
            <w:r>
              <w:rPr>
                <w:sz w:val="17"/>
              </w:rPr>
              <w:t>outputs/step02_log.txt, step03_all_regions_log.txt, step04_*_log.txt, step05_log.txt</w:t>
            </w:r>
          </w:p>
        </w:tc>
        <w:tc>
          <w:tcPr>
            <w:tcW w:type="dxa" w:w="4752"/>
          </w:tcPr>
          <w:p>
            <w:r/>
            <w:r>
              <w:rPr>
                <w:sz w:val="17"/>
              </w:rPr>
              <w:t>Run logs</w:t>
            </w:r>
          </w:p>
        </w:tc>
      </w:tr>
      <w:tr>
        <w:tc>
          <w:tcPr>
            <w:tcW w:type="dxa" w:w="4896"/>
          </w:tcPr>
          <w:p>
            <w:r/>
            <w:r>
              <w:rPr>
                <w:sz w:val="17"/>
              </w:rPr>
              <w:t>outputs/_vic_central_only/</w:t>
            </w:r>
          </w:p>
        </w:tc>
        <w:tc>
          <w:tcPr>
            <w:tcW w:type="dxa" w:w="4752"/>
          </w:tcPr>
          <w:p>
            <w:r/>
            <w:r>
              <w:rPr>
                <w:sz w:val="17"/>
              </w:rPr>
              <w:t>Step 04-05 outputs from the earlier single-region pilot, kept for comparison</w:t>
            </w:r>
          </w:p>
        </w:tc>
      </w:tr>
    </w:tbl>
    <w:p>
      <w:pPr>
        <w:spacing w:after="40"/>
      </w:pP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