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2026-09-20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New_M_2019 ÷ Original_M_2004, and New_M_2019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log axes,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0.41</w:t>
            </w:r>
          </w:p>
        </w:tc>
        <w:tc>
          <w:tcPr>
            <w:tcW w:type="dxa" w:w="1584"/>
          </w:tcPr>
          <w:p>
            <w:r>
              <w:rPr>
                <w:sz w:val="18"/>
              </w:rPr>
              <w:t>0.32-0.57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0.41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(0.41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Eq. (1) is convex, so the two are not the same layer — at the M level the gap is about 3%, and against New_M_2019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0.611</w:t>
            </w:r>
          </w:p>
        </w:tc>
        <w:tc>
          <w:tcPr>
            <w:tcW w:type="dxa" w:w="1584"/>
          </w:tcPr>
          <w:p>
            <w:r>
              <w:rPr>
                <w:sz w:val="18"/>
              </w:rPr>
              <w:t>0.612</w:t>
            </w:r>
          </w:p>
        </w:tc>
        <w:tc>
          <w:tcPr>
            <w:tcW w:type="dxa" w:w="1584"/>
          </w:tcPr>
          <w:p>
            <w:r>
              <w:rPr>
                <w:sz w:val="18"/>
              </w:rPr>
              <w:t>+0.17%</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0.548</w:t>
            </w:r>
          </w:p>
        </w:tc>
        <w:tc>
          <w:tcPr>
            <w:tcW w:type="dxa" w:w="1584"/>
          </w:tcPr>
          <w:p>
            <w:r>
              <w:rPr>
                <w:sz w:val="18"/>
              </w:rPr>
              <w:t>0.549</w:t>
            </w:r>
          </w:p>
        </w:tc>
        <w:tc>
          <w:tcPr>
            <w:tcW w:type="dxa" w:w="1584"/>
          </w:tcPr>
          <w:p>
            <w:r>
              <w:rPr>
                <w:sz w:val="18"/>
              </w:rPr>
              <w:t>+0.12%</w:t>
            </w:r>
          </w:p>
        </w:tc>
      </w:tr>
      <w:tr>
        <w:tc>
          <w:tcPr>
            <w:tcW w:type="dxa" w:w="2880"/>
          </w:tcPr>
          <w:p>
            <w:r>
              <w:rPr>
                <w:sz w:val="18"/>
              </w:rPr>
              <w:t>SSP126 2070-2099</w:t>
            </w:r>
          </w:p>
        </w:tc>
        <w:tc>
          <w:tcPr>
            <w:tcW w:type="dxa" w:w="864"/>
          </w:tcPr>
          <w:p>
            <w:r>
              <w:rPr>
                <w:sz w:val="18"/>
              </w:rPr>
              <w:t>603</w:t>
            </w:r>
          </w:p>
        </w:tc>
        <w:tc>
          <w:tcPr>
            <w:tcW w:type="dxa" w:w="1584"/>
          </w:tcPr>
          <w:p>
            <w:r>
              <w:rPr>
                <w:sz w:val="18"/>
              </w:rPr>
              <w:t>0.556</w:t>
            </w:r>
          </w:p>
        </w:tc>
        <w:tc>
          <w:tcPr>
            <w:tcW w:type="dxa" w:w="1584"/>
          </w:tcPr>
          <w:p>
            <w:r>
              <w:rPr>
                <w:sz w:val="18"/>
              </w:rPr>
              <w:t>0.560</w:t>
            </w:r>
          </w:p>
        </w:tc>
        <w:tc>
          <w:tcPr>
            <w:tcW w:type="dxa" w:w="1584"/>
          </w:tcPr>
          <w:p>
            <w:r>
              <w:rPr>
                <w:sz w:val="18"/>
              </w:rPr>
              <w:t>+0.73%</w:t>
            </w:r>
          </w:p>
        </w:tc>
      </w:tr>
      <w:tr>
        <w:tc>
          <w:tcPr>
            <w:tcW w:type="dxa" w:w="2880"/>
          </w:tcPr>
          <w:p>
            <w:r>
              <w:rPr>
                <w:sz w:val="18"/>
              </w:rPr>
              <w:t>SSP245 2070-2099</w:t>
            </w:r>
          </w:p>
        </w:tc>
        <w:tc>
          <w:tcPr>
            <w:tcW w:type="dxa" w:w="864"/>
          </w:tcPr>
          <w:p>
            <w:r>
              <w:rPr>
                <w:sz w:val="18"/>
              </w:rPr>
              <w:t>304</w:t>
            </w:r>
          </w:p>
        </w:tc>
        <w:tc>
          <w:tcPr>
            <w:tcW w:type="dxa" w:w="1584"/>
          </w:tcPr>
          <w:p>
            <w:r>
              <w:rPr>
                <w:sz w:val="18"/>
              </w:rPr>
              <w:t>0.414</w:t>
            </w:r>
          </w:p>
        </w:tc>
        <w:tc>
          <w:tcPr>
            <w:tcW w:type="dxa" w:w="1584"/>
          </w:tcPr>
          <w:p>
            <w:r>
              <w:rPr>
                <w:sz w:val="18"/>
              </w:rPr>
              <w:t>0.416</w:t>
            </w:r>
          </w:p>
        </w:tc>
        <w:tc>
          <w:tcPr>
            <w:tcW w:type="dxa" w:w="1584"/>
          </w:tcPr>
          <w:p>
            <w:r>
              <w:rPr>
                <w:sz w:val="18"/>
              </w:rPr>
              <w:t>+0.61%</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+0.03%</w:t>
            </w:r>
          </w:p>
        </w:tc>
      </w:tr>
      <w:tr>
        <w:tc>
          <w:tcPr>
            <w:tcW w:type="dxa" w:w="2880"/>
          </w:tcPr>
          <w:p>
            <w:r>
              <w:rPr>
                <w:sz w:val="18"/>
              </w:rPr>
              <w:t>SSP585 2070-2099</w:t>
            </w:r>
          </w:p>
        </w:tc>
        <w:tc>
          <w:tcPr>
            <w:tcW w:type="dxa" w:w="864"/>
          </w:tcPr>
          <w:p>
            <w:r>
              <w:rPr>
                <w:sz w:val="18"/>
              </w:rPr>
              <w:t>16</w:t>
            </w:r>
          </w:p>
        </w:tc>
        <w:tc>
          <w:tcPr>
            <w:tcW w:type="dxa" w:w="1584"/>
          </w:tcPr>
          <w:p>
            <w:r>
              <w:rPr>
                <w:sz w:val="18"/>
              </w:rPr>
              <w:t>0.784</w:t>
            </w:r>
          </w:p>
        </w:tc>
        <w:tc>
          <w:tcPr>
            <w:tcW w:type="dxa" w:w="1584"/>
          </w:tcPr>
          <w:p>
            <w:r>
              <w:rPr>
                <w:sz w:val="18"/>
              </w:rPr>
              <w:t>0.785</w:t>
            </w:r>
          </w:p>
        </w:tc>
        <w:tc>
          <w:tcPr>
            <w:tcW w:type="dxa" w:w="1584"/>
          </w:tcPr>
          <w:p>
            <w:r>
              <w:rPr>
                <w:sz w:val="18"/>
              </w:rPr>
              <w:t>+0.07%</w:t>
            </w:r>
          </w:p>
        </w:tc>
      </w:tr>
    </w:tbl>
    <w:p/>
    <w:p>
      <w:r>
        <w:t>The largest disagreement between the two orders is 0.73%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New_M_2019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New_M_2019.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0.38</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0.41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New_M_2019,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