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2026-09-20 · M' with every component of the ratio produced by the random forest · averaging order: Eq. (1) of the mean FPI</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New_M_2019 ÷ Original_M_2004, and New_M_2019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_eq1ofmean.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the same cell, Eq. (1) footing</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_eq1ofmean.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_eq1ofmean.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against M' at the same cell, log axes, 1:1 dashed. Right: the distribution of the ratio.</w:t>
      </w:r>
    </w:p>
    <w:p>
      <w:r>
        <w:t>How much of that is the footing? Evaluating Eq. (1) on the same modelled FPI at the same cells — the unmatched, Eq. (1) footing — gives a median ratio of 1.21 against 0.61 on the matched footing, a factor of 1.99 between them. The two footings therefore straddle the observations: Eq. (1) M sits above observed mature biomass, which is the direction a maximum should err in, while λ × Original_M_2004 sits below it, which immaturity cannot explain. Rank agreement is poor either way (Spearman ρ -0.02 and 0.15), so the choice of footing moves the level and neither footing reproduces the ranking of these sites.</w:t>
      </w:r>
    </w:p>
    <w:p>
      <w:r>
        <w:t>That is a finding about the footing decision, not about climate change, and it belongs beside the footing memo rather than in the projection. It does not favour one footing on its own: the NBL sample is a filtered mature subset with a median of 83 Mg ha⁻¹, well above the domain median, so a layer calibrated to the whole continent is expected to sit below it.</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_eq1ofmean.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biomass against the M' projected for each site's future climate analogue, one panel per scenario-window.</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_eq1ofmean.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_eq1ofmean.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w:t>
      </w:r>
    </w:p>
    <w:p>
      <w:pPr>
        <w:pStyle w:val="Heading2"/>
      </w:pPr>
      <w:r>
        <w:t>What the vegetation constraint changed</w:t>
      </w:r>
    </w:p>
    <w:p>
      <w:r>
        <w:t>Running the same analysis without the NVIS constraint is instructive, and not in the direction one would hope. The random-cell null rises from 0.27 unconstrained to 0.59 once random means "a random cell of the same vegetation type" — because knowing the vegetation subgroup is itself most of what is needed to guess the biomass. Against that stronger null the eight future runs (0.42 to 0.78)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Eq. (1) of the mean FPI; the other is built as the mean of the annual Eq. (1) M. Eq. (1) is convex, so the two are not the same layer — at the M level the gap is about 3%, and against New_M_2019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0.611</w:t>
            </w:r>
          </w:p>
        </w:tc>
        <w:tc>
          <w:tcPr>
            <w:tcW w:type="dxa" w:w="1584"/>
          </w:tcPr>
          <w:p>
            <w:r>
              <w:rPr>
                <w:sz w:val="18"/>
              </w:rPr>
              <w:t>-0.17%</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0.548</w:t>
            </w:r>
          </w:p>
        </w:tc>
        <w:tc>
          <w:tcPr>
            <w:tcW w:type="dxa" w:w="1584"/>
          </w:tcPr>
          <w:p>
            <w:r>
              <w:rPr>
                <w:sz w:val="18"/>
              </w:rPr>
              <w:t>-0.12%</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0.556</w:t>
            </w:r>
          </w:p>
        </w:tc>
        <w:tc>
          <w:tcPr>
            <w:tcW w:type="dxa" w:w="1584"/>
          </w:tcPr>
          <w:p>
            <w:r>
              <w:rPr>
                <w:sz w:val="18"/>
              </w:rPr>
              <w:t>-0.72%</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0.414</w:t>
            </w:r>
          </w:p>
        </w:tc>
        <w:tc>
          <w:tcPr>
            <w:tcW w:type="dxa" w:w="1584"/>
          </w:tcPr>
          <w:p>
            <w:r>
              <w:rPr>
                <w:sz w:val="18"/>
              </w:rPr>
              <w:t>-0.61%</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-0.03%</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0.784</w:t>
            </w:r>
          </w:p>
        </w:tc>
        <w:tc>
          <w:tcPr>
            <w:tcW w:type="dxa" w:w="1584"/>
          </w:tcPr>
          <w:p>
            <w:r>
              <w:rPr>
                <w:sz w:val="18"/>
              </w:rPr>
              <w:t>-0.07%</w:t>
            </w:r>
          </w:p>
        </w:tc>
      </w:tr>
    </w:tbl>
    <w:p/>
    <w:p>
      <w:r>
        <w:t>The largest disagreement between the two orders is 0.72%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New_M_2019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New_M_2019.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0.43 to 0.68 across the eight runs, against 0.42 to 0.78 with soil included. The two agree closely, so the conclusion does not rest on the choice.</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New_M_2019,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