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4 - a maturity rule on basal area instead of stem diameter</w:t>
      </w:r>
    </w:p>
    <w:p>
      <w:r>
        <w:rPr>
          <w:color w:val="52514E"/>
          <w:sz w:val="18"/>
        </w:rPr>
        <w:t>Space_time_validation/New_proposal/Run_04 · generated 2026-09-23 · the most expensive and most debatable of the runs, left last</w:t>
      </w:r>
    </w:p>
    <w:p>
      <w:pPr>
        <w:pStyle w:val="Heading1"/>
      </w:pPr>
      <w:r>
        <w:t>The problem</w:t>
      </w:r>
    </w:p>
    <w:p>
      <w:r>
        <w:t>Maturity is assigned from the tree list: a stem of 50 cm or more is verified mature, a largest stem of 30-50 cm is likely mature, below that is young or shrubby. That rule needs stem records, and only 2,047 of the library's 15,904 site visits have any. The four largest sources have none at all - Forestry Corporation NSW with 6,718 visits, Queensland NFPP with 3,158, Forestry Tasmania with 2,201 and Parks and Wildlife WA with 898, every one of them at zero per cent coverage. So the rule caps the reference sample at 600 sites of the 1,688 that survive every other filter.</w:t>
      </w:r>
    </w:p>
    <w:p>
      <w:r>
        <w:t>Live basal area is reported in the SITE table for almost every visit. A rule on it could reach the other 1,088. The question is what that costs.</w:t>
      </w:r>
    </w:p>
    <w:p>
      <w:pPr>
        <w:pStyle w:val="Heading1"/>
      </w:pPr>
      <w:r>
        <w:t>Calibrating 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72"/>
          </w:tcPr>
          <w:p>
            <w:r>
              <w:rPr>
                <w:b/>
                <w:sz w:val="18"/>
              </w:rPr>
              <w:t>class</w:t>
            </w:r>
          </w:p>
        </w:tc>
        <w:tc>
          <w:tcPr>
            <w:tcW w:type="dxa" w:w="1008"/>
          </w:tcPr>
          <w:p>
            <w:r>
              <w:rPr>
                <w:b/>
                <w:sz w:val="18"/>
              </w:rPr>
              <w:t>sites</w:t>
            </w:r>
          </w:p>
        </w:tc>
        <w:tc>
          <w:tcPr>
            <w:tcW w:type="dxa" w:w="2160"/>
          </w:tcPr>
          <w:p>
            <w:r>
              <w:rPr>
                <w:b/>
                <w:sz w:val="18"/>
              </w:rPr>
              <w:t>median basal area (m2/ha)</w:t>
            </w:r>
          </w:p>
        </w:tc>
        <w:tc>
          <w:tcPr>
            <w:tcW w:type="dxa" w:w="1872"/>
          </w:tcPr>
          <w:p>
            <w:r>
              <w:rPr>
                <w:b/>
                <w:sz w:val="18"/>
              </w:rPr>
              <w:t>interquartile range</w:t>
            </w:r>
          </w:p>
        </w:tc>
        <w:tc>
          <w:tcPr>
            <w:tcW w:type="dxa" w:w="1440"/>
          </w:tcPr>
          <w:p>
            <w:r>
              <w:rPr>
                <w:b/>
                <w:sz w:val="18"/>
              </w:rPr>
              <w:t>median AGB</w:t>
            </w:r>
          </w:p>
        </w:tc>
      </w:tr>
      <w:tr>
        <w:tc>
          <w:tcPr>
            <w:tcW w:type="dxa" w:w="1872"/>
          </w:tcPr>
          <w:p>
            <w:r>
              <w:rPr>
                <w:sz w:val="18"/>
              </w:rPr>
              <w:t>likely mature</w:t>
            </w:r>
          </w:p>
        </w:tc>
        <w:tc>
          <w:tcPr>
            <w:tcW w:type="dxa" w:w="1008"/>
          </w:tcPr>
          <w:p>
            <w:r>
              <w:rPr>
                <w:sz w:val="18"/>
              </w:rPr>
              <w:t>273</w:t>
            </w:r>
          </w:p>
        </w:tc>
        <w:tc>
          <w:tcPr>
            <w:tcW w:type="dxa" w:w="2160"/>
          </w:tcPr>
          <w:p>
            <w:r>
              <w:rPr>
                <w:sz w:val="18"/>
              </w:rPr>
              <w:t>6.75</w:t>
            </w:r>
          </w:p>
        </w:tc>
        <w:tc>
          <w:tcPr>
            <w:tcW w:type="dxa" w:w="1872"/>
          </w:tcPr>
          <w:p>
            <w:r>
              <w:rPr>
                <w:sz w:val="18"/>
              </w:rPr>
              <w:t>4.1 to 12.1</w:t>
            </w:r>
          </w:p>
        </w:tc>
        <w:tc>
          <w:tcPr>
            <w:tcW w:type="dxa" w:w="1440"/>
          </w:tcPr>
          <w:p>
            <w:r>
              <w:rPr>
                <w:sz w:val="18"/>
              </w:rPr>
              <w:t>109.8</w:t>
            </w:r>
          </w:p>
        </w:tc>
      </w:tr>
      <w:tr>
        <w:tc>
          <w:tcPr>
            <w:tcW w:type="dxa" w:w="1872"/>
          </w:tcPr>
          <w:p>
            <w:r>
              <w:rPr>
                <w:sz w:val="18"/>
              </w:rPr>
              <w:t>unverified</w:t>
            </w:r>
          </w:p>
        </w:tc>
        <w:tc>
          <w:tcPr>
            <w:tcW w:type="dxa" w:w="1008"/>
          </w:tcPr>
          <w:p>
            <w:r>
              <w:rPr>
                <w:sz w:val="18"/>
              </w:rPr>
              <w:t>932</w:t>
            </w:r>
          </w:p>
        </w:tc>
        <w:tc>
          <w:tcPr>
            <w:tcW w:type="dxa" w:w="2160"/>
          </w:tcPr>
          <w:p>
            <w:r>
              <w:rPr>
                <w:sz w:val="18"/>
              </w:rPr>
              <w:t>15.72</w:t>
            </w:r>
          </w:p>
        </w:tc>
        <w:tc>
          <w:tcPr>
            <w:tcW w:type="dxa" w:w="1872"/>
          </w:tcPr>
          <w:p>
            <w:r>
              <w:rPr>
                <w:sz w:val="18"/>
              </w:rPr>
              <w:t>8.9 to 26.5</w:t>
            </w:r>
          </w:p>
        </w:tc>
        <w:tc>
          <w:tcPr>
            <w:tcW w:type="dxa" w:w="1440"/>
          </w:tcPr>
          <w:p>
            <w:r>
              <w:rPr>
                <w:sz w:val="18"/>
              </w:rPr>
              <w:t>113.1</w:t>
            </w:r>
          </w:p>
        </w:tc>
      </w:tr>
      <w:tr>
        <w:tc>
          <w:tcPr>
            <w:tcW w:type="dxa" w:w="1872"/>
          </w:tcPr>
          <w:p>
            <w:r>
              <w:rPr>
                <w:sz w:val="18"/>
              </w:rPr>
              <w:t>verified mature</w:t>
            </w:r>
          </w:p>
        </w:tc>
        <w:tc>
          <w:tcPr>
            <w:tcW w:type="dxa" w:w="1008"/>
          </w:tcPr>
          <w:p>
            <w:r>
              <w:rPr>
                <w:sz w:val="18"/>
              </w:rPr>
              <w:t>327</w:t>
            </w:r>
          </w:p>
        </w:tc>
        <w:tc>
          <w:tcPr>
            <w:tcW w:type="dxa" w:w="2160"/>
          </w:tcPr>
          <w:p>
            <w:r>
              <w:rPr>
                <w:sz w:val="18"/>
              </w:rPr>
              <w:t>14.75</w:t>
            </w:r>
          </w:p>
        </w:tc>
        <w:tc>
          <w:tcPr>
            <w:tcW w:type="dxa" w:w="1872"/>
          </w:tcPr>
          <w:p>
            <w:r>
              <w:rPr>
                <w:sz w:val="18"/>
              </w:rPr>
              <w:t>9.2 to 20.4</w:t>
            </w:r>
          </w:p>
        </w:tc>
        <w:tc>
          <w:tcPr>
            <w:tcW w:type="dxa" w:w="1440"/>
          </w:tcPr>
          <w:p>
            <w:r>
              <w:rPr>
                <w:sz w:val="18"/>
              </w:rPr>
              <w:t>117.5</w:t>
            </w:r>
          </w:p>
        </w:tc>
      </w:tr>
      <w:tr>
        <w:tc>
          <w:tcPr>
            <w:tcW w:type="dxa" w:w="1872"/>
          </w:tcPr>
          <w:p>
            <w:r>
              <w:rPr>
                <w:sz w:val="18"/>
              </w:rPr>
              <w:t>young or shrubby</w:t>
            </w:r>
          </w:p>
        </w:tc>
        <w:tc>
          <w:tcPr>
            <w:tcW w:type="dxa" w:w="1008"/>
          </w:tcPr>
          <w:p>
            <w:r>
              <w:rPr>
                <w:sz w:val="18"/>
              </w:rPr>
              <w:t>156</w:t>
            </w:r>
          </w:p>
        </w:tc>
        <w:tc>
          <w:tcPr>
            <w:tcW w:type="dxa" w:w="2160"/>
          </w:tcPr>
          <w:p>
            <w:r>
              <w:rPr>
                <w:sz w:val="18"/>
              </w:rPr>
              <w:t>2.99</w:t>
            </w:r>
          </w:p>
        </w:tc>
        <w:tc>
          <w:tcPr>
            <w:tcW w:type="dxa" w:w="1872"/>
          </w:tcPr>
          <w:p>
            <w:r>
              <w:rPr>
                <w:sz w:val="18"/>
              </w:rPr>
              <w:t>0.9 to 7.0</w:t>
            </w:r>
          </w:p>
        </w:tc>
        <w:tc>
          <w:tcPr>
            <w:tcW w:type="dxa" w:w="1440"/>
          </w:tcPr>
          <w:p>
            <w:r>
              <w:rPr>
                <w:sz w:val="18"/>
              </w:rPr>
              <w:t>87.6</w:t>
            </w:r>
          </w:p>
        </w:tc>
      </w:tr>
    </w:tbl>
    <w:p/>
    <w:p>
      <w:pPr>
        <w:jc w:val="left"/>
      </w:pPr>
      <w:r>
        <w:rPr>
          <w:i/>
          <w:color w:val="52514E"/>
          <w:sz w:val="18"/>
        </w:rPr>
        <w:t>Table 1. Basal area by maturity class.</w:t>
      </w:r>
    </w:p>
    <w:p>
      <w:r>
        <w:t>The class medians separate about as the proposal expected - 14.75 m2/ha for verified mature, 6.75 for likely and 2.99 for young. Calibrated on the 756 reference sites that carry a DBH label, basal area reproduces the mature/not-mature distinction at an area under the ROC curve of 0.800. That is better than it had any right to be: 0.5 is a coin toss and 0.8 is usually called decent.</w:t>
      </w:r>
    </w:p>
    <w:p>
      <w:r>
        <w:t>It should not be better, because the two quantities measure different things. Maturity is defined by the LARGEST STEM; basal area is the summed cross-section of ALL stems over the plot area. A sparse stand of huge old trees and a dense thicket of saplings can carry the same basal area, so the rule cannot separate an old stand from a crowded young one. The AUC of 0.80 says the confusion is less damaging than it might have been, not that it is absent.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threshold (m2/ha)</w:t>
            </w:r>
          </w:p>
        </w:tc>
        <w:tc>
          <w:tcPr>
            <w:tcW w:type="dxa" w:w="1440"/>
          </w:tcPr>
          <w:p>
            <w:r>
              <w:rPr>
                <w:b/>
                <w:sz w:val="18"/>
              </w:rPr>
              <w:t>sensitivity</w:t>
            </w:r>
          </w:p>
        </w:tc>
        <w:tc>
          <w:tcPr>
            <w:tcW w:type="dxa" w:w="1440"/>
          </w:tcPr>
          <w:p>
            <w:r>
              <w:rPr>
                <w:b/>
                <w:sz w:val="18"/>
              </w:rPr>
              <w:t>specificity</w:t>
            </w:r>
          </w:p>
        </w:tc>
        <w:tc>
          <w:tcPr>
            <w:tcW w:type="dxa" w:w="1728"/>
          </w:tcPr>
          <w:p>
            <w:r>
              <w:rPr>
                <w:b/>
                <w:sz w:val="18"/>
              </w:rPr>
              <w:t>balanced accuracy</w:t>
            </w:r>
          </w:p>
        </w:tc>
        <w:tc>
          <w:tcPr>
            <w:tcW w:type="dxa" w:w="2160"/>
          </w:tcPr>
          <w:p>
            <w:r>
              <w:rPr>
                <w:b/>
                <w:sz w:val="18"/>
              </w:rPr>
              <w:t>sites selected of 1,688</w:t>
            </w:r>
          </w:p>
        </w:tc>
      </w:tr>
      <w:tr>
        <w:tc>
          <w:tcPr>
            <w:tcW w:type="dxa" w:w="1728"/>
          </w:tcPr>
          <w:p>
            <w:r>
              <w:rPr>
                <w:sz w:val="18"/>
              </w:rPr>
              <w:t>5</w:t>
            </w:r>
          </w:p>
        </w:tc>
        <w:tc>
          <w:tcPr>
            <w:tcW w:type="dxa" w:w="1440"/>
          </w:tcPr>
          <w:p>
            <w:r>
              <w:rPr>
                <w:sz w:val="18"/>
              </w:rPr>
              <w:t>0.82</w:t>
            </w:r>
          </w:p>
        </w:tc>
        <w:tc>
          <w:tcPr>
            <w:tcW w:type="dxa" w:w="1440"/>
          </w:tcPr>
          <w:p>
            <w:r>
              <w:rPr>
                <w:sz w:val="18"/>
              </w:rPr>
              <w:t>0.65</w:t>
            </w:r>
          </w:p>
        </w:tc>
        <w:tc>
          <w:tcPr>
            <w:tcW w:type="dxa" w:w="1728"/>
          </w:tcPr>
          <w:p>
            <w:r>
              <w:rPr>
                <w:sz w:val="18"/>
              </w:rPr>
              <w:t>0.732</w:t>
            </w:r>
          </w:p>
        </w:tc>
        <w:tc>
          <w:tcPr>
            <w:tcW w:type="dxa" w:w="2160"/>
          </w:tcPr>
          <w:p>
            <w:r>
              <w:rPr>
                <w:sz w:val="18"/>
              </w:rPr>
              <w:t>1377</w:t>
            </w:r>
          </w:p>
        </w:tc>
      </w:tr>
      <w:tr>
        <w:tc>
          <w:tcPr>
            <w:tcW w:type="dxa" w:w="1728"/>
          </w:tcPr>
          <w:p>
            <w:r>
              <w:rPr>
                <w:sz w:val="18"/>
              </w:rPr>
              <w:t>7</w:t>
            </w:r>
          </w:p>
        </w:tc>
        <w:tc>
          <w:tcPr>
            <w:tcW w:type="dxa" w:w="1440"/>
          </w:tcPr>
          <w:p>
            <w:r>
              <w:rPr>
                <w:sz w:val="18"/>
              </w:rPr>
              <w:t>0.70</w:t>
            </w:r>
          </w:p>
        </w:tc>
        <w:tc>
          <w:tcPr>
            <w:tcW w:type="dxa" w:w="1440"/>
          </w:tcPr>
          <w:p>
            <w:r>
              <w:rPr>
                <w:sz w:val="18"/>
              </w:rPr>
              <w:t>0.75</w:t>
            </w:r>
          </w:p>
        </w:tc>
        <w:tc>
          <w:tcPr>
            <w:tcW w:type="dxa" w:w="1728"/>
          </w:tcPr>
          <w:p>
            <w:r>
              <w:rPr>
                <w:sz w:val="18"/>
              </w:rPr>
              <w:t>0.727</w:t>
            </w:r>
          </w:p>
        </w:tc>
        <w:tc>
          <w:tcPr>
            <w:tcW w:type="dxa" w:w="2160"/>
          </w:tcPr>
          <w:p>
            <w:r>
              <w:rPr>
                <w:sz w:val="18"/>
              </w:rPr>
              <w:t>1240</w:t>
            </w:r>
          </w:p>
        </w:tc>
      </w:tr>
      <w:tr>
        <w:tc>
          <w:tcPr>
            <w:tcW w:type="dxa" w:w="1728"/>
          </w:tcPr>
          <w:p>
            <w:r>
              <w:rPr>
                <w:sz w:val="18"/>
              </w:rPr>
              <w:t>9</w:t>
            </w:r>
          </w:p>
        </w:tc>
        <w:tc>
          <w:tcPr>
            <w:tcW w:type="dxa" w:w="1440"/>
          </w:tcPr>
          <w:p>
            <w:r>
              <w:rPr>
                <w:sz w:val="18"/>
              </w:rPr>
              <w:t>0.59</w:t>
            </w:r>
          </w:p>
        </w:tc>
        <w:tc>
          <w:tcPr>
            <w:tcW w:type="dxa" w:w="1440"/>
          </w:tcPr>
          <w:p>
            <w:r>
              <w:rPr>
                <w:sz w:val="18"/>
              </w:rPr>
              <w:t>0.81</w:t>
            </w:r>
          </w:p>
        </w:tc>
        <w:tc>
          <w:tcPr>
            <w:tcW w:type="dxa" w:w="1728"/>
          </w:tcPr>
          <w:p>
            <w:r>
              <w:rPr>
                <w:sz w:val="18"/>
              </w:rPr>
              <w:t>0.704</w:t>
            </w:r>
          </w:p>
        </w:tc>
        <w:tc>
          <w:tcPr>
            <w:tcW w:type="dxa" w:w="2160"/>
          </w:tcPr>
          <w:p>
            <w:r>
              <w:rPr>
                <w:sz w:val="18"/>
              </w:rPr>
              <w:t>1083</w:t>
            </w:r>
          </w:p>
        </w:tc>
      </w:tr>
      <w:tr>
        <w:tc>
          <w:tcPr>
            <w:tcW w:type="dxa" w:w="1728"/>
          </w:tcPr>
          <w:p>
            <w:r>
              <w:rPr>
                <w:sz w:val="18"/>
              </w:rPr>
              <w:t>10</w:t>
            </w:r>
          </w:p>
        </w:tc>
        <w:tc>
          <w:tcPr>
            <w:tcW w:type="dxa" w:w="1440"/>
          </w:tcPr>
          <w:p>
            <w:r>
              <w:rPr>
                <w:sz w:val="18"/>
              </w:rPr>
              <w:t>0.55</w:t>
            </w:r>
          </w:p>
        </w:tc>
        <w:tc>
          <w:tcPr>
            <w:tcW w:type="dxa" w:w="1440"/>
          </w:tcPr>
          <w:p>
            <w:r>
              <w:rPr>
                <w:sz w:val="18"/>
              </w:rPr>
              <w:t>0.85</w:t>
            </w:r>
          </w:p>
        </w:tc>
        <w:tc>
          <w:tcPr>
            <w:tcW w:type="dxa" w:w="1728"/>
          </w:tcPr>
          <w:p>
            <w:r>
              <w:rPr>
                <w:sz w:val="18"/>
              </w:rPr>
              <w:t>0.700</w:t>
            </w:r>
          </w:p>
        </w:tc>
        <w:tc>
          <w:tcPr>
            <w:tcW w:type="dxa" w:w="2160"/>
          </w:tcPr>
          <w:p>
            <w:r>
              <w:rPr>
                <w:sz w:val="18"/>
              </w:rPr>
              <w:t>1014</w:t>
            </w:r>
          </w:p>
        </w:tc>
      </w:tr>
      <w:tr>
        <w:tc>
          <w:tcPr>
            <w:tcW w:type="dxa" w:w="1728"/>
          </w:tcPr>
          <w:p>
            <w:r>
              <w:rPr>
                <w:sz w:val="18"/>
              </w:rPr>
              <w:t>12</w:t>
            </w:r>
          </w:p>
        </w:tc>
        <w:tc>
          <w:tcPr>
            <w:tcW w:type="dxa" w:w="1440"/>
          </w:tcPr>
          <w:p>
            <w:r>
              <w:rPr>
                <w:sz w:val="18"/>
              </w:rPr>
              <w:t>0.46</w:t>
            </w:r>
          </w:p>
        </w:tc>
        <w:tc>
          <w:tcPr>
            <w:tcW w:type="dxa" w:w="1440"/>
          </w:tcPr>
          <w:p>
            <w:r>
              <w:rPr>
                <w:sz w:val="18"/>
              </w:rPr>
              <w:t>0.90</w:t>
            </w:r>
          </w:p>
        </w:tc>
        <w:tc>
          <w:tcPr>
            <w:tcW w:type="dxa" w:w="1728"/>
          </w:tcPr>
          <w:p>
            <w:r>
              <w:rPr>
                <w:sz w:val="18"/>
              </w:rPr>
              <w:t>0.679</w:t>
            </w:r>
          </w:p>
        </w:tc>
        <w:tc>
          <w:tcPr>
            <w:tcW w:type="dxa" w:w="2160"/>
          </w:tcPr>
          <w:p>
            <w:r>
              <w:rPr>
                <w:sz w:val="18"/>
              </w:rPr>
              <w:t>872</w:t>
            </w:r>
          </w:p>
        </w:tc>
      </w:tr>
      <w:tr>
        <w:tc>
          <w:tcPr>
            <w:tcW w:type="dxa" w:w="1728"/>
          </w:tcPr>
          <w:p>
            <w:r>
              <w:rPr>
                <w:sz w:val="18"/>
              </w:rPr>
              <w:t>14</w:t>
            </w:r>
          </w:p>
        </w:tc>
        <w:tc>
          <w:tcPr>
            <w:tcW w:type="dxa" w:w="1440"/>
          </w:tcPr>
          <w:p>
            <w:r>
              <w:rPr>
                <w:sz w:val="18"/>
              </w:rPr>
              <w:t>0.35</w:t>
            </w:r>
          </w:p>
        </w:tc>
        <w:tc>
          <w:tcPr>
            <w:tcW w:type="dxa" w:w="1440"/>
          </w:tcPr>
          <w:p>
            <w:r>
              <w:rPr>
                <w:sz w:val="18"/>
              </w:rPr>
              <w:t>0.93</w:t>
            </w:r>
          </w:p>
        </w:tc>
        <w:tc>
          <w:tcPr>
            <w:tcW w:type="dxa" w:w="1728"/>
          </w:tcPr>
          <w:p>
            <w:r>
              <w:rPr>
                <w:sz w:val="18"/>
              </w:rPr>
              <w:t>0.642</w:t>
            </w:r>
          </w:p>
        </w:tc>
        <w:tc>
          <w:tcPr>
            <w:tcW w:type="dxa" w:w="2160"/>
          </w:tcPr>
          <w:p>
            <w:r>
              <w:rPr>
                <w:sz w:val="18"/>
              </w:rPr>
              <w:t>745</w:t>
            </w:r>
          </w:p>
        </w:tc>
      </w:tr>
      <w:tr>
        <w:tc>
          <w:tcPr>
            <w:tcW w:type="dxa" w:w="1728"/>
          </w:tcPr>
          <w:p>
            <w:r>
              <w:rPr>
                <w:sz w:val="18"/>
              </w:rPr>
              <w:t>16</w:t>
            </w:r>
          </w:p>
        </w:tc>
        <w:tc>
          <w:tcPr>
            <w:tcW w:type="dxa" w:w="1440"/>
          </w:tcPr>
          <w:p>
            <w:r>
              <w:rPr>
                <w:sz w:val="18"/>
              </w:rPr>
              <w:t>0.28</w:t>
            </w:r>
          </w:p>
        </w:tc>
        <w:tc>
          <w:tcPr>
            <w:tcW w:type="dxa" w:w="1440"/>
          </w:tcPr>
          <w:p>
            <w:r>
              <w:rPr>
                <w:sz w:val="18"/>
              </w:rPr>
              <w:t>0.94</w:t>
            </w:r>
          </w:p>
        </w:tc>
        <w:tc>
          <w:tcPr>
            <w:tcW w:type="dxa" w:w="1728"/>
          </w:tcPr>
          <w:p>
            <w:r>
              <w:rPr>
                <w:sz w:val="18"/>
              </w:rPr>
              <w:t>0.609</w:t>
            </w:r>
          </w:p>
        </w:tc>
        <w:tc>
          <w:tcPr>
            <w:tcW w:type="dxa" w:w="2160"/>
          </w:tcPr>
          <w:p>
            <w:r>
              <w:rPr>
                <w:sz w:val="18"/>
              </w:rPr>
              <w:t>634</w:t>
            </w:r>
          </w:p>
        </w:tc>
      </w:tr>
      <w:tr>
        <w:tc>
          <w:tcPr>
            <w:tcW w:type="dxa" w:w="1728"/>
          </w:tcPr>
          <w:p>
            <w:r>
              <w:rPr>
                <w:sz w:val="18"/>
              </w:rPr>
              <w:t>20</w:t>
            </w:r>
          </w:p>
        </w:tc>
        <w:tc>
          <w:tcPr>
            <w:tcW w:type="dxa" w:w="1440"/>
          </w:tcPr>
          <w:p>
            <w:r>
              <w:rPr>
                <w:sz w:val="18"/>
              </w:rPr>
              <w:t>0.17</w:t>
            </w:r>
          </w:p>
        </w:tc>
        <w:tc>
          <w:tcPr>
            <w:tcW w:type="dxa" w:w="1440"/>
          </w:tcPr>
          <w:p>
            <w:r>
              <w:rPr>
                <w:sz w:val="18"/>
              </w:rPr>
              <w:t>0.96</w:t>
            </w:r>
          </w:p>
        </w:tc>
        <w:tc>
          <w:tcPr>
            <w:tcW w:type="dxa" w:w="1728"/>
          </w:tcPr>
          <w:p>
            <w:r>
              <w:rPr>
                <w:sz w:val="18"/>
              </w:rPr>
              <w:t>0.564</w:t>
            </w:r>
          </w:p>
        </w:tc>
        <w:tc>
          <w:tcPr>
            <w:tcW w:type="dxa" w:w="2160"/>
          </w:tcPr>
          <w:p>
            <w:r>
              <w:rPr>
                <w:sz w:val="18"/>
              </w:rPr>
              <w:t>465</w:t>
            </w:r>
          </w:p>
        </w:tc>
      </w:tr>
    </w:tbl>
    <w:p/>
    <w:p>
      <w:pPr>
        <w:jc w:val="left"/>
      </w:pPr>
      <w:r>
        <w:rPr>
          <w:i/>
          <w:color w:val="52514E"/>
          <w:sz w:val="18"/>
        </w:rPr>
        <w:t>Table 2. The trade-off at each threshold.</w:t>
      </w:r>
    </w:p>
    <w:p>
      <w:pPr>
        <w:pStyle w:val="IntenseQuote"/>
      </w:pPr>
      <w:r>
        <w:t>One number in Table 1 should have been a warning. The 932 unverified sites - the ones with no stem record, which the rule exists to reach - have a median basal area of 15.72 m2/ha, ABOVE the verified mature group's 14.75. Either they really are mature, or basal area is not discriminating maturity among them. The labelled data cannot settle which, because the label those sites would be judged on is exactly what they lack.</w:t>
      </w:r>
    </w:p>
    <w:p>
      <w:pPr>
        <w:jc w:val="center"/>
      </w:pPr>
      <w:r>
        <w:drawing>
          <wp:inline xmlns:a="http://schemas.openxmlformats.org/drawingml/2006/main" xmlns:pic="http://schemas.openxmlformats.org/drawingml/2006/picture">
            <wp:extent cx="5852160" cy="1752308"/>
            <wp:docPr id="1" name="Picture 1"/>
            <wp:cNvGraphicFramePr>
              <a:graphicFrameLocks noChangeAspect="1"/>
            </wp:cNvGraphicFramePr>
            <a:graphic>
              <a:graphicData uri="http://schemas.openxmlformats.org/drawingml/2006/picture">
                <pic:pic>
                  <pic:nvPicPr>
                    <pic:cNvPr id="0" name="fig_01_calibration.png"/>
                    <pic:cNvPicPr/>
                  </pic:nvPicPr>
                  <pic:blipFill>
                    <a:blip r:embed="rId9"/>
                    <a:stretch>
                      <a:fillRect/>
                    </a:stretch>
                  </pic:blipFill>
                  <pic:spPr>
                    <a:xfrm>
                      <a:off x="0" y="0"/>
                      <a:ext cx="5852160" cy="1752308"/>
                    </a:xfrm>
                    <a:prstGeom prst="rect"/>
                  </pic:spPr>
                </pic:pic>
              </a:graphicData>
            </a:graphic>
          </wp:inline>
        </w:drawing>
      </w:r>
    </w:p>
    <w:p>
      <w:pPr>
        <w:jc w:val="left"/>
      </w:pPr>
      <w:r>
        <w:rPr>
          <w:i/>
          <w:color w:val="52514E"/>
          <w:sz w:val="18"/>
        </w:rPr>
        <w:t>Figure 1. What the rule has to separate, how well it does it, and the trade-off at each threshold.</w:t>
      </w:r>
    </w:p>
    <w:p>
      <w:pPr>
        <w:pStyle w:val="Heading1"/>
      </w:pPr>
      <w:r>
        <w:t>The result</w:t>
      </w:r>
    </w:p>
    <w:p>
      <w:r>
        <w:t>The design separates the two things the rule does - change the criterion, and expand the sample - by running the criterion on the labelled sites alone as well as on everything.</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872"/>
          </w:tcPr>
          <w:p>
            <w:r>
              <w:rPr>
                <w:b/>
                <w:sz w:val="18"/>
              </w:rPr>
              <w:t>configuration</w:t>
            </w:r>
          </w:p>
        </w:tc>
        <w:tc>
          <w:tcPr>
            <w:tcW w:type="dxa" w:w="864"/>
          </w:tcPr>
          <w:p>
            <w:r>
              <w:rPr>
                <w:b/>
                <w:sz w:val="18"/>
              </w:rPr>
              <w:t>sites</w:t>
            </w:r>
          </w:p>
        </w:tc>
        <w:tc>
          <w:tcPr>
            <w:tcW w:type="dxa" w:w="1008"/>
          </w:tcPr>
          <w:p>
            <w:r>
              <w:rPr>
                <w:b/>
                <w:sz w:val="18"/>
              </w:rPr>
              <w:t>labelled</w:t>
            </w:r>
          </w:p>
        </w:tc>
        <w:tc>
          <w:tcPr>
            <w:tcW w:type="dxa" w:w="1584"/>
          </w:tcPr>
          <w:p>
            <w:r>
              <w:rPr>
                <w:b/>
                <w:sz w:val="18"/>
              </w:rPr>
              <w:t>of which DBH-mature</w:t>
            </w:r>
          </w:p>
        </w:tc>
        <w:tc>
          <w:tcPr>
            <w:tcW w:type="dxa" w:w="1152"/>
          </w:tcPr>
          <w:p>
            <w:r>
              <w:rPr>
                <w:b/>
                <w:sz w:val="18"/>
              </w:rPr>
              <w:t>gate rho</w:t>
            </w:r>
          </w:p>
        </w:tc>
        <w:tc>
          <w:tcPr>
            <w:tcW w:type="dxa" w:w="1008"/>
          </w:tcPr>
          <w:p>
            <w:r>
              <w:rPr>
                <w:b/>
                <w:sz w:val="18"/>
              </w:rPr>
              <w:t>ratio</w:t>
            </w:r>
          </w:p>
        </w:tc>
        <w:tc>
          <w:tcPr>
            <w:tcW w:type="dxa" w:w="1152"/>
          </w:tcPr>
          <w:p>
            <w:r>
              <w:rPr>
                <w:b/>
                <w:sz w:val="18"/>
              </w:rPr>
              <w:t>future rho</w:t>
            </w:r>
          </w:p>
        </w:tc>
        <w:tc>
          <w:tcPr>
            <w:tcW w:type="dxa" w:w="1008"/>
          </w:tcPr>
          <w:p>
            <w:r>
              <w:rPr>
                <w:b/>
                <w:sz w:val="18"/>
              </w:rPr>
              <w:t>null rho</w:t>
            </w:r>
          </w:p>
        </w:tc>
        <w:tc>
          <w:tcPr>
            <w:tcW w:type="dxa" w:w="1008"/>
          </w:tcPr>
          <w:p>
            <w:r>
              <w:rPr>
                <w:b/>
                <w:sz w:val="18"/>
              </w:rPr>
              <w:t>gap</w:t>
            </w:r>
          </w:p>
        </w:tc>
      </w:tr>
      <w:tr>
        <w:tc>
          <w:tcPr>
            <w:tcW w:type="dxa" w:w="1872"/>
          </w:tcPr>
          <w:p>
            <w:r>
              <w:rPr>
                <w:sz w:val="18"/>
              </w:rPr>
              <w:t>dbh_rule</w:t>
            </w:r>
          </w:p>
        </w:tc>
        <w:tc>
          <w:tcPr>
            <w:tcW w:type="dxa" w:w="864"/>
          </w:tcPr>
          <w:p>
            <w:r>
              <w:rPr>
                <w:sz w:val="18"/>
              </w:rPr>
              <w:t>600</w:t>
            </w:r>
          </w:p>
        </w:tc>
        <w:tc>
          <w:tcPr>
            <w:tcW w:type="dxa" w:w="1008"/>
          </w:tcPr>
          <w:p>
            <w:r>
              <w:rPr>
                <w:sz w:val="18"/>
              </w:rPr>
              <w:t>600</w:t>
            </w:r>
          </w:p>
        </w:tc>
        <w:tc>
          <w:tcPr>
            <w:tcW w:type="dxa" w:w="1584"/>
          </w:tcPr>
          <w:p>
            <w:r>
              <w:rPr>
                <w:sz w:val="18"/>
              </w:rPr>
              <w:t>100%</w:t>
            </w:r>
          </w:p>
        </w:tc>
        <w:tc>
          <w:tcPr>
            <w:tcW w:type="dxa" w:w="1152"/>
          </w:tcPr>
          <w:p>
            <w:r>
              <w:rPr>
                <w:sz w:val="18"/>
              </w:rPr>
              <w:t>0.418</w:t>
            </w:r>
          </w:p>
        </w:tc>
        <w:tc>
          <w:tcPr>
            <w:tcW w:type="dxa" w:w="1008"/>
          </w:tcPr>
          <w:p>
            <w:r>
              <w:rPr>
                <w:sz w:val="18"/>
              </w:rPr>
              <w:t>0.465</w:t>
            </w:r>
          </w:p>
        </w:tc>
        <w:tc>
          <w:tcPr>
            <w:tcW w:type="dxa" w:w="1152"/>
          </w:tcPr>
          <w:p>
            <w:r>
              <w:rPr>
                <w:sz w:val="18"/>
              </w:rPr>
              <w:t>0.269</w:t>
            </w:r>
          </w:p>
        </w:tc>
        <w:tc>
          <w:tcPr>
            <w:tcW w:type="dxa" w:w="1008"/>
          </w:tcPr>
          <w:p>
            <w:r>
              <w:rPr>
                <w:sz w:val="18"/>
              </w:rPr>
              <w:t>0.205</w:t>
            </w:r>
          </w:p>
        </w:tc>
        <w:tc>
          <w:tcPr>
            <w:tcW w:type="dxa" w:w="1008"/>
          </w:tcPr>
          <w:p>
            <w:r>
              <w:rPr>
                <w:sz w:val="18"/>
              </w:rPr>
              <w:t>+0.064</w:t>
            </w:r>
          </w:p>
        </w:tc>
      </w:tr>
      <w:tr>
        <w:tc>
          <w:tcPr>
            <w:tcW w:type="dxa" w:w="1872"/>
          </w:tcPr>
          <w:p>
            <w:r>
              <w:rPr>
                <w:sz w:val="18"/>
              </w:rPr>
              <w:t>ba_05</w:t>
            </w:r>
          </w:p>
        </w:tc>
        <w:tc>
          <w:tcPr>
            <w:tcW w:type="dxa" w:w="864"/>
          </w:tcPr>
          <w:p>
            <w:r>
              <w:rPr>
                <w:sz w:val="18"/>
              </w:rPr>
              <w:t>1377</w:t>
            </w:r>
          </w:p>
        </w:tc>
        <w:tc>
          <w:tcPr>
            <w:tcW w:type="dxa" w:w="1008"/>
          </w:tcPr>
          <w:p>
            <w:r>
              <w:rPr>
                <w:sz w:val="18"/>
              </w:rPr>
              <w:t>545</w:t>
            </w:r>
          </w:p>
        </w:tc>
        <w:tc>
          <w:tcPr>
            <w:tcW w:type="dxa" w:w="1584"/>
          </w:tcPr>
          <w:p>
            <w:r>
              <w:rPr>
                <w:sz w:val="18"/>
              </w:rPr>
              <w:t>90%</w:t>
            </w:r>
          </w:p>
        </w:tc>
        <w:tc>
          <w:tcPr>
            <w:tcW w:type="dxa" w:w="1152"/>
          </w:tcPr>
          <w:p>
            <w:r>
              <w:rPr>
                <w:sz w:val="18"/>
              </w:rPr>
              <w:t>-0.038</w:t>
            </w:r>
          </w:p>
        </w:tc>
        <w:tc>
          <w:tcPr>
            <w:tcW w:type="dxa" w:w="1008"/>
          </w:tcPr>
          <w:p>
            <w:r>
              <w:rPr>
                <w:sz w:val="18"/>
              </w:rPr>
              <w:t>0.757</w:t>
            </w:r>
          </w:p>
        </w:tc>
        <w:tc>
          <w:tcPr>
            <w:tcW w:type="dxa" w:w="1152"/>
          </w:tcPr>
          <w:p>
            <w:r>
              <w:rPr>
                <w:sz w:val="18"/>
              </w:rPr>
              <w:t>-0.058</w:t>
            </w:r>
          </w:p>
        </w:tc>
        <w:tc>
          <w:tcPr>
            <w:tcW w:type="dxa" w:w="1008"/>
          </w:tcPr>
          <w:p>
            <w:r>
              <w:rPr>
                <w:sz w:val="18"/>
              </w:rPr>
              <w:t>-0.033</w:t>
            </w:r>
          </w:p>
        </w:tc>
        <w:tc>
          <w:tcPr>
            <w:tcW w:type="dxa" w:w="1008"/>
          </w:tcPr>
          <w:p>
            <w:r>
              <w:rPr>
                <w:sz w:val="18"/>
              </w:rPr>
              <w:t>-0.025</w:t>
            </w:r>
          </w:p>
        </w:tc>
      </w:tr>
      <w:tr>
        <w:tc>
          <w:tcPr>
            <w:tcW w:type="dxa" w:w="1872"/>
          </w:tcPr>
          <w:p>
            <w:r>
              <w:rPr>
                <w:sz w:val="18"/>
              </w:rPr>
              <w:t>ba_07</w:t>
            </w:r>
          </w:p>
        </w:tc>
        <w:tc>
          <w:tcPr>
            <w:tcW w:type="dxa" w:w="864"/>
          </w:tcPr>
          <w:p>
            <w:r>
              <w:rPr>
                <w:sz w:val="18"/>
              </w:rPr>
              <w:t>1240</w:t>
            </w:r>
          </w:p>
        </w:tc>
        <w:tc>
          <w:tcPr>
            <w:tcW w:type="dxa" w:w="1008"/>
          </w:tcPr>
          <w:p>
            <w:r>
              <w:rPr>
                <w:sz w:val="18"/>
              </w:rPr>
              <w:t>461</w:t>
            </w:r>
          </w:p>
        </w:tc>
        <w:tc>
          <w:tcPr>
            <w:tcW w:type="dxa" w:w="1584"/>
          </w:tcPr>
          <w:p>
            <w:r>
              <w:rPr>
                <w:sz w:val="18"/>
              </w:rPr>
              <w:t>92%</w:t>
            </w:r>
          </w:p>
        </w:tc>
        <w:tc>
          <w:tcPr>
            <w:tcW w:type="dxa" w:w="1152"/>
          </w:tcPr>
          <w:p>
            <w:r>
              <w:rPr>
                <w:sz w:val="18"/>
              </w:rPr>
              <w:t>-0.023</w:t>
            </w:r>
          </w:p>
        </w:tc>
        <w:tc>
          <w:tcPr>
            <w:tcW w:type="dxa" w:w="1008"/>
          </w:tcPr>
          <w:p>
            <w:r>
              <w:rPr>
                <w:sz w:val="18"/>
              </w:rPr>
              <w:t>0.809</w:t>
            </w:r>
          </w:p>
        </w:tc>
        <w:tc>
          <w:tcPr>
            <w:tcW w:type="dxa" w:w="1152"/>
          </w:tcPr>
          <w:p>
            <w:r>
              <w:rPr>
                <w:sz w:val="18"/>
              </w:rPr>
              <w:t>-0.044</w:t>
            </w:r>
          </w:p>
        </w:tc>
        <w:tc>
          <w:tcPr>
            <w:tcW w:type="dxa" w:w="1008"/>
          </w:tcPr>
          <w:p>
            <w:r>
              <w:rPr>
                <w:sz w:val="18"/>
              </w:rPr>
              <w:t>-0.049</w:t>
            </w:r>
          </w:p>
        </w:tc>
        <w:tc>
          <w:tcPr>
            <w:tcW w:type="dxa" w:w="1008"/>
          </w:tcPr>
          <w:p>
            <w:r>
              <w:rPr>
                <w:sz w:val="18"/>
              </w:rPr>
              <w:t>+0.005</w:t>
            </w:r>
          </w:p>
        </w:tc>
      </w:tr>
      <w:tr>
        <w:tc>
          <w:tcPr>
            <w:tcW w:type="dxa" w:w="1872"/>
          </w:tcPr>
          <w:p>
            <w:r>
              <w:rPr>
                <w:sz w:val="18"/>
              </w:rPr>
              <w:t>ba_09</w:t>
            </w:r>
          </w:p>
        </w:tc>
        <w:tc>
          <w:tcPr>
            <w:tcW w:type="dxa" w:w="864"/>
          </w:tcPr>
          <w:p>
            <w:r>
              <w:rPr>
                <w:sz w:val="18"/>
              </w:rPr>
              <w:t>1083</w:t>
            </w:r>
          </w:p>
        </w:tc>
        <w:tc>
          <w:tcPr>
            <w:tcW w:type="dxa" w:w="1008"/>
          </w:tcPr>
          <w:p>
            <w:r>
              <w:rPr>
                <w:sz w:val="18"/>
              </w:rPr>
              <w:t>385</w:t>
            </w:r>
          </w:p>
        </w:tc>
        <w:tc>
          <w:tcPr>
            <w:tcW w:type="dxa" w:w="1584"/>
          </w:tcPr>
          <w:p>
            <w:r>
              <w:rPr>
                <w:sz w:val="18"/>
              </w:rPr>
              <w:t>92%</w:t>
            </w:r>
          </w:p>
        </w:tc>
        <w:tc>
          <w:tcPr>
            <w:tcW w:type="dxa" w:w="1152"/>
          </w:tcPr>
          <w:p>
            <w:r>
              <w:rPr>
                <w:sz w:val="18"/>
              </w:rPr>
              <w:t>-0.036</w:t>
            </w:r>
          </w:p>
        </w:tc>
        <w:tc>
          <w:tcPr>
            <w:tcW w:type="dxa" w:w="1008"/>
          </w:tcPr>
          <w:p>
            <w:r>
              <w:rPr>
                <w:sz w:val="18"/>
              </w:rPr>
              <w:t>0.897</w:t>
            </w:r>
          </w:p>
        </w:tc>
        <w:tc>
          <w:tcPr>
            <w:tcW w:type="dxa" w:w="1152"/>
          </w:tcPr>
          <w:p>
            <w:r>
              <w:rPr>
                <w:sz w:val="18"/>
              </w:rPr>
              <w:t>-0.052</w:t>
            </w:r>
          </w:p>
        </w:tc>
        <w:tc>
          <w:tcPr>
            <w:tcW w:type="dxa" w:w="1008"/>
          </w:tcPr>
          <w:p>
            <w:r>
              <w:rPr>
                <w:sz w:val="18"/>
              </w:rPr>
              <w:t>-0.040</w:t>
            </w:r>
          </w:p>
        </w:tc>
        <w:tc>
          <w:tcPr>
            <w:tcW w:type="dxa" w:w="1008"/>
          </w:tcPr>
          <w:p>
            <w:r>
              <w:rPr>
                <w:sz w:val="18"/>
              </w:rPr>
              <w:t>-0.012</w:t>
            </w:r>
          </w:p>
        </w:tc>
      </w:tr>
      <w:tr>
        <w:tc>
          <w:tcPr>
            <w:tcW w:type="dxa" w:w="1872"/>
          </w:tcPr>
          <w:p>
            <w:r>
              <w:rPr>
                <w:sz w:val="18"/>
              </w:rPr>
              <w:t>ba_14</w:t>
            </w:r>
          </w:p>
        </w:tc>
        <w:tc>
          <w:tcPr>
            <w:tcW w:type="dxa" w:w="864"/>
          </w:tcPr>
          <w:p>
            <w:r>
              <w:rPr>
                <w:sz w:val="18"/>
              </w:rPr>
              <w:t>745</w:t>
            </w:r>
          </w:p>
        </w:tc>
        <w:tc>
          <w:tcPr>
            <w:tcW w:type="dxa" w:w="1008"/>
          </w:tcPr>
          <w:p>
            <w:r>
              <w:rPr>
                <w:sz w:val="18"/>
              </w:rPr>
              <w:t>224</w:t>
            </w:r>
          </w:p>
        </w:tc>
        <w:tc>
          <w:tcPr>
            <w:tcW w:type="dxa" w:w="1584"/>
          </w:tcPr>
          <w:p>
            <w:r>
              <w:rPr>
                <w:sz w:val="18"/>
              </w:rPr>
              <w:t>95%</w:t>
            </w:r>
          </w:p>
        </w:tc>
        <w:tc>
          <w:tcPr>
            <w:tcW w:type="dxa" w:w="1152"/>
          </w:tcPr>
          <w:p>
            <w:r>
              <w:rPr>
                <w:sz w:val="18"/>
              </w:rPr>
              <w:t>-0.075</w:t>
            </w:r>
          </w:p>
        </w:tc>
        <w:tc>
          <w:tcPr>
            <w:tcW w:type="dxa" w:w="1008"/>
          </w:tcPr>
          <w:p>
            <w:r>
              <w:rPr>
                <w:sz w:val="18"/>
              </w:rPr>
              <w:t>1.063</w:t>
            </w:r>
          </w:p>
        </w:tc>
        <w:tc>
          <w:tcPr>
            <w:tcW w:type="dxa" w:w="1152"/>
          </w:tcPr>
          <w:p>
            <w:r>
              <w:rPr>
                <w:sz w:val="18"/>
              </w:rPr>
              <w:t>-0.084</w:t>
            </w:r>
          </w:p>
        </w:tc>
        <w:tc>
          <w:tcPr>
            <w:tcW w:type="dxa" w:w="1008"/>
          </w:tcPr>
          <w:p>
            <w:r>
              <w:rPr>
                <w:sz w:val="18"/>
              </w:rPr>
              <w:t>-0.082</w:t>
            </w:r>
          </w:p>
        </w:tc>
        <w:tc>
          <w:tcPr>
            <w:tcW w:type="dxa" w:w="1008"/>
          </w:tcPr>
          <w:p>
            <w:r>
              <w:rPr>
                <w:sz w:val="18"/>
              </w:rPr>
              <w:t>-0.002</w:t>
            </w:r>
          </w:p>
        </w:tc>
      </w:tr>
      <w:tr>
        <w:tc>
          <w:tcPr>
            <w:tcW w:type="dxa" w:w="1872"/>
          </w:tcPr>
          <w:p>
            <w:r>
              <w:rPr>
                <w:sz w:val="18"/>
              </w:rPr>
              <w:t>ba_07_labelled</w:t>
            </w:r>
          </w:p>
        </w:tc>
        <w:tc>
          <w:tcPr>
            <w:tcW w:type="dxa" w:w="864"/>
          </w:tcPr>
          <w:p>
            <w:r>
              <w:rPr>
                <w:sz w:val="18"/>
              </w:rPr>
              <w:t>461</w:t>
            </w:r>
          </w:p>
        </w:tc>
        <w:tc>
          <w:tcPr>
            <w:tcW w:type="dxa" w:w="1008"/>
          </w:tcPr>
          <w:p>
            <w:r>
              <w:rPr>
                <w:sz w:val="18"/>
              </w:rPr>
              <w:t>461</w:t>
            </w:r>
          </w:p>
        </w:tc>
        <w:tc>
          <w:tcPr>
            <w:tcW w:type="dxa" w:w="1584"/>
          </w:tcPr>
          <w:p>
            <w:r>
              <w:rPr>
                <w:sz w:val="18"/>
              </w:rPr>
              <w:t>92%</w:t>
            </w:r>
          </w:p>
        </w:tc>
        <w:tc>
          <w:tcPr>
            <w:tcW w:type="dxa" w:w="1152"/>
          </w:tcPr>
          <w:p>
            <w:r>
              <w:rPr>
                <w:sz w:val="18"/>
              </w:rPr>
              <w:t>0.320</w:t>
            </w:r>
          </w:p>
        </w:tc>
        <w:tc>
          <w:tcPr>
            <w:tcW w:type="dxa" w:w="1008"/>
          </w:tcPr>
          <w:p>
            <w:r>
              <w:rPr>
                <w:sz w:val="18"/>
              </w:rPr>
              <w:t>0.378</w:t>
            </w:r>
          </w:p>
        </w:tc>
        <w:tc>
          <w:tcPr>
            <w:tcW w:type="dxa" w:w="1152"/>
          </w:tcPr>
          <w:p>
            <w:r>
              <w:rPr>
                <w:sz w:val="18"/>
              </w:rPr>
              <w:t>0.240</w:t>
            </w:r>
          </w:p>
        </w:tc>
        <w:tc>
          <w:tcPr>
            <w:tcW w:type="dxa" w:w="1008"/>
          </w:tcPr>
          <w:p>
            <w:r>
              <w:rPr>
                <w:sz w:val="18"/>
              </w:rPr>
              <w:t>0.014</w:t>
            </w:r>
          </w:p>
        </w:tc>
        <w:tc>
          <w:tcPr>
            <w:tcW w:type="dxa" w:w="1008"/>
          </w:tcPr>
          <w:p>
            <w:r>
              <w:rPr>
                <w:sz w:val="18"/>
              </w:rPr>
              <w:t>+0.226</w:t>
            </w:r>
          </w:p>
        </w:tc>
      </w:tr>
    </w:tbl>
    <w:p/>
    <w:p>
      <w:pPr>
        <w:jc w:val="left"/>
      </w:pPr>
      <w:r>
        <w:rPr>
          <w:i/>
          <w:color w:val="52514E"/>
          <w:sz w:val="18"/>
        </w:rPr>
        <w:t>Table 3. Every configuration, analogue-found sites only.</w:t>
      </w:r>
    </w:p>
    <w:p>
      <w:r>
        <w:t>The criterion is fine. Applied to the labelled sites alone it gives a present-day gate of 0.320 and a future rank correlation of 0.240, against 0.418 and 0.269 for the DBH rule - slightly lower, on 461 sites instead of 600, which is what a weaker criterion should look like.</w:t>
      </w:r>
    </w:p>
    <w:p>
      <w:pPr>
        <w:pStyle w:val="IntenseQuote"/>
      </w:pPr>
      <w:r>
        <w:t>The expansion destroys it. Adding the 779 sites with no stem record takes the gate from 0.320 to -0.023 and the future runs from 0.240 to -0.044 - both below zero. Every threshold behaves the same way: 5, 9 and 14 m2/ha all land between -0.04 and -0.08. This is not a dilution, it is a reversal.</w:t>
      </w:r>
    </w:p>
    <w:p>
      <w:pPr>
        <w:jc w:val="center"/>
      </w:pPr>
      <w:r>
        <w:drawing>
          <wp:inline xmlns:a="http://schemas.openxmlformats.org/drawingml/2006/main" xmlns:pic="http://schemas.openxmlformats.org/drawingml/2006/picture">
            <wp:extent cx="5852160" cy="2257608"/>
            <wp:docPr id="2" name="Picture 2"/>
            <wp:cNvGraphicFramePr>
              <a:graphicFrameLocks noChangeAspect="1"/>
            </wp:cNvGraphicFramePr>
            <a:graphic>
              <a:graphicData uri="http://schemas.openxmlformats.org/drawingml/2006/picture">
                <pic:pic>
                  <pic:nvPicPr>
                    <pic:cNvPr id="0" name="fig_02_criterion_vs_expansion.png"/>
                    <pic:cNvPicPr/>
                  </pic:nvPicPr>
                  <pic:blipFill>
                    <a:blip r:embed="rId10"/>
                    <a:stretch>
                      <a:fillRect/>
                    </a:stretch>
                  </pic:blipFill>
                  <pic:spPr>
                    <a:xfrm>
                      <a:off x="0" y="0"/>
                      <a:ext cx="5852160" cy="2257608"/>
                    </a:xfrm>
                    <a:prstGeom prst="rect"/>
                  </pic:spPr>
                </pic:pic>
              </a:graphicData>
            </a:graphic>
          </wp:inline>
        </w:drawing>
      </w:r>
    </w:p>
    <w:p>
      <w:pPr>
        <w:jc w:val="left"/>
      </w:pPr>
      <w:r>
        <w:rPr>
          <w:i/>
          <w:color w:val="52514E"/>
          <w:sz w:val="18"/>
        </w:rPr>
        <w:t>Figure 2. The criterion works on the sites it was calibrated on; the sample it unlocks does not.</w:t>
      </w:r>
    </w:p>
    <w:p>
      <w:pPr>
        <w:pStyle w:val="Heading2"/>
      </w:pPr>
      <w:r>
        <w:t>Why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736"/>
          </w:tcPr>
          <w:p>
            <w:r>
              <w:rPr>
                <w:b/>
                <w:sz w:val="18"/>
              </w:rPr>
              <w:t>half of the expanded sample</w:t>
            </w:r>
          </w:p>
        </w:tc>
        <w:tc>
          <w:tcPr>
            <w:tcW w:type="dxa" w:w="1008"/>
          </w:tcPr>
          <w:p>
            <w:r>
              <w:rPr>
                <w:b/>
                <w:sz w:val="18"/>
              </w:rPr>
              <w:t>sites</w:t>
            </w:r>
          </w:p>
        </w:tc>
        <w:tc>
          <w:tcPr>
            <w:tcW w:type="dxa" w:w="2160"/>
          </w:tcPr>
          <w:p>
            <w:r>
              <w:rPr>
                <w:b/>
                <w:sz w:val="18"/>
              </w:rPr>
              <w:t>rho of observed AGB with M'</w:t>
            </w:r>
          </w:p>
        </w:tc>
        <w:tc>
          <w:tcPr>
            <w:tcW w:type="dxa" w:w="1584"/>
          </w:tcPr>
          <w:p>
            <w:r>
              <w:rPr>
                <w:b/>
                <w:sz w:val="18"/>
              </w:rPr>
              <w:t>median plot (ha)</w:t>
            </w:r>
          </w:p>
        </w:tc>
        <w:tc>
          <w:tcPr>
            <w:tcW w:type="dxa" w:w="1584"/>
          </w:tcPr>
          <w:p>
            <w:r>
              <w:rPr>
                <w:b/>
                <w:sz w:val="18"/>
              </w:rPr>
              <w:t>AGB per m2/ha BA</w:t>
            </w:r>
          </w:p>
        </w:tc>
      </w:tr>
      <w:tr>
        <w:tc>
          <w:tcPr>
            <w:tcW w:type="dxa" w:w="2736"/>
          </w:tcPr>
          <w:p>
            <w:r>
              <w:rPr>
                <w:sz w:val="18"/>
              </w:rPr>
              <w:t>labelled (has stem data)</w:t>
            </w:r>
          </w:p>
        </w:tc>
        <w:tc>
          <w:tcPr>
            <w:tcW w:type="dxa" w:w="1008"/>
          </w:tcPr>
          <w:p>
            <w:r>
              <w:rPr>
                <w:sz w:val="18"/>
              </w:rPr>
              <w:t>461</w:t>
            </w:r>
          </w:p>
        </w:tc>
        <w:tc>
          <w:tcPr>
            <w:tcW w:type="dxa" w:w="2160"/>
          </w:tcPr>
          <w:p>
            <w:r>
              <w:rPr>
                <w:sz w:val="18"/>
              </w:rPr>
              <w:t>+0.320</w:t>
            </w:r>
          </w:p>
        </w:tc>
        <w:tc>
          <w:tcPr>
            <w:tcW w:type="dxa" w:w="1584"/>
          </w:tcPr>
          <w:p>
            <w:r>
              <w:rPr>
                <w:sz w:val="18"/>
              </w:rPr>
              <w:t>0.24</w:t>
            </w:r>
          </w:p>
        </w:tc>
        <w:tc>
          <w:tcPr>
            <w:tcW w:type="dxa" w:w="1584"/>
          </w:tcPr>
          <w:p>
            <w:r>
              <w:rPr>
                <w:sz w:val="18"/>
              </w:rPr>
              <w:t>10.2</w:t>
            </w:r>
          </w:p>
        </w:tc>
      </w:tr>
      <w:tr>
        <w:tc>
          <w:tcPr>
            <w:tcW w:type="dxa" w:w="2736"/>
          </w:tcPr>
          <w:p>
            <w:r>
              <w:rPr>
                <w:sz w:val="18"/>
              </w:rPr>
              <w:t>unlabelled (added by the rule)</w:t>
            </w:r>
          </w:p>
        </w:tc>
        <w:tc>
          <w:tcPr>
            <w:tcW w:type="dxa" w:w="1008"/>
          </w:tcPr>
          <w:p>
            <w:r>
              <w:rPr>
                <w:sz w:val="18"/>
              </w:rPr>
              <w:t>779</w:t>
            </w:r>
          </w:p>
        </w:tc>
        <w:tc>
          <w:tcPr>
            <w:tcW w:type="dxa" w:w="2160"/>
          </w:tcPr>
          <w:p>
            <w:r>
              <w:rPr>
                <w:sz w:val="18"/>
              </w:rPr>
              <w:t>-0.109</w:t>
            </w:r>
          </w:p>
        </w:tc>
        <w:tc>
          <w:tcPr>
            <w:tcW w:type="dxa" w:w="1584"/>
          </w:tcPr>
          <w:p>
            <w:r>
              <w:rPr>
                <w:sz w:val="18"/>
              </w:rPr>
              <w:t>0.13</w:t>
            </w:r>
          </w:p>
        </w:tc>
        <w:tc>
          <w:tcPr>
            <w:tcW w:type="dxa" w:w="1584"/>
          </w:tcPr>
          <w:p>
            <w:r>
              <w:rPr>
                <w:sz w:val="18"/>
              </w:rPr>
              <w:t>5.2</w:t>
            </w:r>
          </w:p>
        </w:tc>
      </w:tr>
    </w:tbl>
    <w:p/>
    <w:p>
      <w:pPr>
        <w:jc w:val="left"/>
      </w:pPr>
      <w:r>
        <w:rPr>
          <w:i/>
          <w:color w:val="52514E"/>
          <w:sz w:val="18"/>
        </w:rPr>
        <w:t>Table 4. The two halves.</w:t>
      </w:r>
    </w:p>
    <w:p>
      <w:r>
        <w:t>The 461 labelled sites give a rank correlation with M' of +0.320. The 779 the rule adds give -0.109. They do not merely carry less signal - they carry the opposite sign, which is why the pooled result falls below zero rather than towards 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3168"/>
          </w:tcPr>
          <w:p>
            <w:r>
              <w:rPr>
                <w:b/>
                <w:sz w:val="18"/>
              </w:rPr>
              <w:t>provider</w:t>
            </w:r>
          </w:p>
        </w:tc>
        <w:tc>
          <w:tcPr>
            <w:tcW w:type="dxa" w:w="1296"/>
          </w:tcPr>
          <w:p>
            <w:r>
              <w:rPr>
                <w:b/>
                <w:sz w:val="18"/>
              </w:rPr>
              <w:t>sites added</w:t>
            </w:r>
          </w:p>
        </w:tc>
        <w:tc>
          <w:tcPr>
            <w:tcW w:type="dxa" w:w="1440"/>
          </w:tcPr>
          <w:p>
            <w:r>
              <w:rPr>
                <w:b/>
                <w:sz w:val="18"/>
              </w:rPr>
              <w:t>rho with M'</w:t>
            </w:r>
          </w:p>
        </w:tc>
        <w:tc>
          <w:tcPr>
            <w:tcW w:type="dxa" w:w="1584"/>
          </w:tcPr>
          <w:p>
            <w:r>
              <w:rPr>
                <w:b/>
                <w:sz w:val="18"/>
              </w:rPr>
              <w:t>median plot (ha)</w:t>
            </w:r>
          </w:p>
        </w:tc>
        <w:tc>
          <w:tcPr>
            <w:tcW w:type="dxa" w:w="1584"/>
          </w:tcPr>
          <w:p>
            <w:r>
              <w:rPr>
                <w:b/>
                <w:sz w:val="18"/>
              </w:rPr>
              <w:t>AGB per m2/ha BA</w:t>
            </w:r>
          </w:p>
        </w:tc>
      </w:tr>
      <w:tr>
        <w:tc>
          <w:tcPr>
            <w:tcW w:type="dxa" w:w="3168"/>
          </w:tcPr>
          <w:p>
            <w:r>
              <w:rPr>
                <w:sz w:val="18"/>
              </w:rPr>
              <w:t>Department of Parks and Wildlife (WA</w:t>
            </w:r>
          </w:p>
        </w:tc>
        <w:tc>
          <w:tcPr>
            <w:tcW w:type="dxa" w:w="1296"/>
          </w:tcPr>
          <w:p>
            <w:r>
              <w:rPr>
                <w:sz w:val="18"/>
              </w:rPr>
              <w:t>365</w:t>
            </w:r>
          </w:p>
        </w:tc>
        <w:tc>
          <w:tcPr>
            <w:tcW w:type="dxa" w:w="1440"/>
          </w:tcPr>
          <w:p>
            <w:r>
              <w:rPr>
                <w:sz w:val="18"/>
              </w:rPr>
              <w:t>-0.06</w:t>
            </w:r>
          </w:p>
        </w:tc>
        <w:tc>
          <w:tcPr>
            <w:tcW w:type="dxa" w:w="1584"/>
          </w:tcPr>
          <w:p>
            <w:r>
              <w:rPr>
                <w:sz w:val="18"/>
              </w:rPr>
              <w:t>0.13</w:t>
            </w:r>
          </w:p>
        </w:tc>
        <w:tc>
          <w:tcPr>
            <w:tcW w:type="dxa" w:w="1584"/>
          </w:tcPr>
          <w:p>
            <w:r>
              <w:rPr>
                <w:sz w:val="18"/>
              </w:rPr>
              <w:t>4.2</w:t>
            </w:r>
          </w:p>
        </w:tc>
      </w:tr>
      <w:tr>
        <w:tc>
          <w:tcPr>
            <w:tcW w:type="dxa" w:w="3168"/>
          </w:tcPr>
          <w:p>
            <w:r>
              <w:rPr>
                <w:sz w:val="18"/>
              </w:rPr>
              <w:t>Queensland NFPP</w:t>
            </w:r>
          </w:p>
        </w:tc>
        <w:tc>
          <w:tcPr>
            <w:tcW w:type="dxa" w:w="1296"/>
          </w:tcPr>
          <w:p>
            <w:r>
              <w:rPr>
                <w:sz w:val="18"/>
              </w:rPr>
              <w:t>280</w:t>
            </w:r>
          </w:p>
        </w:tc>
        <w:tc>
          <w:tcPr>
            <w:tcW w:type="dxa" w:w="1440"/>
          </w:tcPr>
          <w:p>
            <w:r>
              <w:rPr>
                <w:sz w:val="18"/>
              </w:rPr>
              <w:t>-0.06</w:t>
            </w:r>
          </w:p>
        </w:tc>
        <w:tc>
          <w:tcPr>
            <w:tcW w:type="dxa" w:w="1584"/>
          </w:tcPr>
          <w:p>
            <w:r>
              <w:rPr>
                <w:sz w:val="18"/>
              </w:rPr>
              <w:t>0.40</w:t>
            </w:r>
          </w:p>
        </w:tc>
        <w:tc>
          <w:tcPr>
            <w:tcW w:type="dxa" w:w="1584"/>
          </w:tcPr>
          <w:p>
            <w:r>
              <w:rPr>
                <w:sz w:val="18"/>
              </w:rPr>
              <w:t>4.3</w:t>
            </w:r>
          </w:p>
        </w:tc>
      </w:tr>
      <w:tr>
        <w:tc>
          <w:tcPr>
            <w:tcW w:type="dxa" w:w="3168"/>
          </w:tcPr>
          <w:p>
            <w:r>
              <w:rPr>
                <w:sz w:val="18"/>
              </w:rPr>
              <w:t>Darwin Centre for Bushfire Research</w:t>
            </w:r>
          </w:p>
        </w:tc>
        <w:tc>
          <w:tcPr>
            <w:tcW w:type="dxa" w:w="1296"/>
          </w:tcPr>
          <w:p>
            <w:r>
              <w:rPr>
                <w:sz w:val="18"/>
              </w:rPr>
              <w:t>134</w:t>
            </w:r>
          </w:p>
        </w:tc>
        <w:tc>
          <w:tcPr>
            <w:tcW w:type="dxa" w:w="1440"/>
          </w:tcPr>
          <w:p>
            <w:r>
              <w:rPr>
                <w:sz w:val="18"/>
              </w:rPr>
              <w:t>+0.15</w:t>
            </w:r>
          </w:p>
        </w:tc>
        <w:tc>
          <w:tcPr>
            <w:tcW w:type="dxa" w:w="1584"/>
          </w:tcPr>
          <w:p>
            <w:r>
              <w:rPr>
                <w:sz w:val="18"/>
              </w:rPr>
              <w:t>0.08</w:t>
            </w:r>
          </w:p>
        </w:tc>
        <w:tc>
          <w:tcPr>
            <w:tcW w:type="dxa" w:w="1584"/>
          </w:tcPr>
          <w:p>
            <w:r>
              <w:rPr>
                <w:sz w:val="18"/>
              </w:rPr>
              <w:t>44.6</w:t>
            </w:r>
          </w:p>
        </w:tc>
      </w:tr>
    </w:tbl>
    <w:p/>
    <w:p>
      <w:pPr>
        <w:jc w:val="left"/>
      </w:pPr>
      <w:r>
        <w:rPr>
          <w:i/>
          <w:color w:val="52514E"/>
          <w:sz w:val="18"/>
        </w:rPr>
        <w:t>Table 5. Who the unlabelled sites come from.</w:t>
      </w:r>
    </w:p>
    <w:p>
      <w:r>
        <w:t>All three are providers this repository has already flagged. Parks and Wildlife WA and Queensland NFPP both return a negative correlation with M'; the Roxburgh folder found the same for Queensland NFPP on its 1,647 records at uniform 0.4 ha plots. Darwin Centre for Bushfire Research reports 601 Mg/ha of biomass on 0.08 ha plots, an AGB-to-basal-area ratio of 44.6 - savanna measured on eighth-hectare plots, which is the small-plot inflation the whole study keeps returning to.</w:t>
      </w:r>
    </w:p>
    <w:p>
      <w:pPr>
        <w:jc w:val="center"/>
      </w:pPr>
      <w:r>
        <w:drawing>
          <wp:inline xmlns:a="http://schemas.openxmlformats.org/drawingml/2006/main" xmlns:pic="http://schemas.openxmlformats.org/drawingml/2006/picture">
            <wp:extent cx="5852160" cy="2220959"/>
            <wp:docPr id="3" name="Picture 3"/>
            <wp:cNvGraphicFramePr>
              <a:graphicFrameLocks noChangeAspect="1"/>
            </wp:cNvGraphicFramePr>
            <a:graphic>
              <a:graphicData uri="http://schemas.openxmlformats.org/drawingml/2006/picture">
                <pic:pic>
                  <pic:nvPicPr>
                    <pic:cNvPr id="0" name="fig_03_what_the_expansion_adds.png"/>
                    <pic:cNvPicPr/>
                  </pic:nvPicPr>
                  <pic:blipFill>
                    <a:blip r:embed="rId11"/>
                    <a:stretch>
                      <a:fillRect/>
                    </a:stretch>
                  </pic:blipFill>
                  <pic:spPr>
                    <a:xfrm>
                      <a:off x="0" y="0"/>
                      <a:ext cx="5852160" cy="2220959"/>
                    </a:xfrm>
                    <a:prstGeom prst="rect"/>
                  </pic:spPr>
                </pic:pic>
              </a:graphicData>
            </a:graphic>
          </wp:inline>
        </w:drawing>
      </w:r>
    </w:p>
    <w:p>
      <w:pPr>
        <w:jc w:val="left"/>
      </w:pPr>
      <w:r>
        <w:rPr>
          <w:i/>
          <w:color w:val="52514E"/>
          <w:sz w:val="18"/>
        </w:rPr>
        <w:t>Figure 3. The two halves of the expanded sample, and the providers the unlabelled half comes from.</w:t>
      </w:r>
    </w:p>
    <w:p>
      <w:pPr>
        <w:pStyle w:val="Heading1"/>
      </w:pPr>
      <w:r>
        <w:t>What to conclude</w:t>
      </w:r>
    </w:p>
    <w:p>
      <w:pPr>
        <w:pStyle w:val="ListBullet"/>
      </w:pPr>
      <w:r>
        <w:t>The rule is sound and the sample is not. Basal area reproduces the DBH label at AUC 0.80 and performs comparably on the sites where both exist. The problem is entirely in what it unlocks.</w:t>
      </w:r>
    </w:p>
    <w:p>
      <w:pPr>
        <w:pStyle w:val="ListBullet"/>
      </w:pPr>
      <w:r>
        <w:t>Do not adopt it. On every threshold tested the expanded sample gives a present-day gate at or below zero, against 0.418 for the DBH rule. Nearly doubling the sample is worth nothing if the added half correlates negatively with what is being validated.</w:t>
      </w:r>
    </w:p>
    <w:p>
      <w:pPr>
        <w:pStyle w:val="ListBullet"/>
      </w:pPr>
      <w:r>
        <w:t>The 1,088 sites without stem records are not simply unmeasured, they are differently measured. They come from providers whose plot sizes and biomass values this study has repeatedly found unusable, and no maturity rule can repair that - the defect is in the biomass, not in the maturity.</w:t>
      </w:r>
    </w:p>
    <w:p>
      <w:pPr>
        <w:pStyle w:val="ListBullet"/>
      </w:pPr>
      <w:r>
        <w:t>The stem-record requirement is doing more than it appears to. It looks like a maturity filter and is also, incidentally, a data-quality filter: the providers that record stems are the providers whose biomass behaves. That is worth stating explicitly wherever the 600-site cap is described as a limitation.</w:t>
      </w:r>
    </w:p>
    <w:p>
      <w:pPr>
        <w:pStyle w:val="ListBullet"/>
      </w:pPr>
      <w:r>
        <w:t>If the sample must grow, grow it on measurement quality rather than on maturity. Run 3 showed that rebuilding biomass from stem diameters lifts the gate from 0.42 to 0.73 - but it needs stem records, so it reaches the same 600 sites. Reaching further requires providers to supply stem data, not a different rule applied to what they did supply.</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312"/>
          </w:tcPr>
          <w:p>
            <w:r>
              <w:rPr>
                <w:b/>
                <w:sz w:val="18"/>
              </w:rPr>
              <w:t>file</w:t>
            </w:r>
          </w:p>
        </w:tc>
        <w:tc>
          <w:tcPr>
            <w:tcW w:type="dxa" w:w="5328"/>
          </w:tcPr>
          <w:p>
            <w:r>
              <w:rPr>
                <w:b/>
                <w:sz w:val="18"/>
              </w:rPr>
              <w:t>what it holds</w:t>
            </w:r>
          </w:p>
        </w:tc>
      </w:tr>
      <w:tr>
        <w:tc>
          <w:tcPr>
            <w:tcW w:type="dxa" w:w="3312"/>
          </w:tcPr>
          <w:p>
            <w:r>
              <w:rPr>
                <w:sz w:val="18"/>
              </w:rPr>
              <w:t>Step_01_calibrate_rule.py</w:t>
            </w:r>
          </w:p>
        </w:tc>
        <w:tc>
          <w:tcPr>
            <w:tcW w:type="dxa" w:w="5328"/>
          </w:tcPr>
          <w:p>
            <w:r>
              <w:rPr>
                <w:sz w:val="18"/>
              </w:rPr>
              <w:t>the calibration and its skill</w:t>
            </w:r>
          </w:p>
        </w:tc>
      </w:tr>
      <w:tr>
        <w:tc>
          <w:tcPr>
            <w:tcW w:type="dxa" w:w="3312"/>
          </w:tcPr>
          <w:p>
            <w:r>
              <w:rPr>
                <w:sz w:val="18"/>
              </w:rPr>
              <w:t>Step_02_run_and_compare.py</w:t>
            </w:r>
          </w:p>
        </w:tc>
        <w:tc>
          <w:tcPr>
            <w:tcW w:type="dxa" w:w="5328"/>
          </w:tcPr>
          <w:p>
            <w:r>
              <w:rPr>
                <w:sz w:val="18"/>
              </w:rPr>
              <w:t>the six configurations</w:t>
            </w:r>
          </w:p>
        </w:tc>
      </w:tr>
      <w:tr>
        <w:tc>
          <w:tcPr>
            <w:tcW w:type="dxa" w:w="3312"/>
          </w:tcPr>
          <w:p>
            <w:r>
              <w:rPr>
                <w:sz w:val="18"/>
              </w:rPr>
              <w:t>Step_03_plots.py</w:t>
            </w:r>
          </w:p>
        </w:tc>
        <w:tc>
          <w:tcPr>
            <w:tcW w:type="dxa" w:w="5328"/>
          </w:tcPr>
          <w:p>
            <w:r>
              <w:rPr>
                <w:sz w:val="18"/>
              </w:rPr>
              <w:t>figures 2 and 3</w:t>
            </w:r>
          </w:p>
        </w:tc>
      </w:tr>
      <w:tr>
        <w:tc>
          <w:tcPr>
            <w:tcW w:type="dxa" w:w="3312"/>
          </w:tcPr>
          <w:p>
            <w:r>
              <w:rPr>
                <w:sz w:val="18"/>
              </w:rPr>
              <w:t>Step_04_write_report.py</w:t>
            </w:r>
          </w:p>
        </w:tc>
        <w:tc>
          <w:tcPr>
            <w:tcW w:type="dxa" w:w="5328"/>
          </w:tcPr>
          <w:p>
            <w:r>
              <w:rPr>
                <w:sz w:val="18"/>
              </w:rPr>
              <w:t>this document</w:t>
            </w:r>
          </w:p>
        </w:tc>
      </w:tr>
      <w:tr>
        <w:tc>
          <w:tcPr>
            <w:tcW w:type="dxa" w:w="3312"/>
          </w:tcPr>
          <w:p>
            <w:r>
              <w:rPr>
                <w:sz w:val="18"/>
              </w:rPr>
              <w:t>outputs/calibration.csv</w:t>
            </w:r>
          </w:p>
        </w:tc>
        <w:tc>
          <w:tcPr>
            <w:tcW w:type="dxa" w:w="5328"/>
          </w:tcPr>
          <w:p>
            <w:r>
              <w:rPr>
                <w:sz w:val="18"/>
              </w:rPr>
              <w:t>Table 2</w:t>
            </w:r>
          </w:p>
        </w:tc>
      </w:tr>
      <w:tr>
        <w:tc>
          <w:tcPr>
            <w:tcW w:type="dxa" w:w="3312"/>
          </w:tcPr>
          <w:p>
            <w:r>
              <w:rPr>
                <w:sz w:val="18"/>
              </w:rPr>
              <w:t>outputs/class_summary.csv</w:t>
            </w:r>
          </w:p>
        </w:tc>
        <w:tc>
          <w:tcPr>
            <w:tcW w:type="dxa" w:w="5328"/>
          </w:tcPr>
          <w:p>
            <w:r>
              <w:rPr>
                <w:sz w:val="18"/>
              </w:rPr>
              <w:t>Table 1</w:t>
            </w:r>
          </w:p>
        </w:tc>
      </w:tr>
      <w:tr>
        <w:tc>
          <w:tcPr>
            <w:tcW w:type="dxa" w:w="3312"/>
          </w:tcPr>
          <w:p>
            <w:r>
              <w:rPr>
                <w:sz w:val="18"/>
              </w:rPr>
              <w:t>outputs/run04_headline.csv</w:t>
            </w:r>
          </w:p>
        </w:tc>
        <w:tc>
          <w:tcPr>
            <w:tcW w:type="dxa" w:w="5328"/>
          </w:tcPr>
          <w:p>
            <w:r>
              <w:rPr>
                <w:sz w:val="18"/>
              </w:rPr>
              <w:t>Table 3</w:t>
            </w:r>
          </w:p>
        </w:tc>
      </w:tr>
      <w:tr>
        <w:tc>
          <w:tcPr>
            <w:tcW w:type="dxa" w:w="3312"/>
          </w:tcPr>
          <w:p>
            <w:r>
              <w:rPr>
                <w:sz w:val="18"/>
              </w:rPr>
              <w:t>outputs/expansion_halves.csv</w:t>
            </w:r>
          </w:p>
        </w:tc>
        <w:tc>
          <w:tcPr>
            <w:tcW w:type="dxa" w:w="5328"/>
          </w:tcPr>
          <w:p>
            <w:r>
              <w:rPr>
                <w:sz w:val="18"/>
              </w:rPr>
              <w:t>Table 4</w:t>
            </w:r>
          </w:p>
        </w:tc>
      </w:tr>
      <w:tr>
        <w:tc>
          <w:tcPr>
            <w:tcW w:type="dxa" w:w="3312"/>
          </w:tcPr>
          <w:p>
            <w:r>
              <w:rPr>
                <w:sz w:val="18"/>
              </w:rPr>
              <w:t>outputs/expansion_providers.csv</w:t>
            </w:r>
          </w:p>
        </w:tc>
        <w:tc>
          <w:tcPr>
            <w:tcW w:type="dxa" w:w="5328"/>
          </w:tcPr>
          <w:p>
            <w:r>
              <w:rPr>
                <w:sz w:val="18"/>
              </w:rPr>
              <w:t>Table 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