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1 - verified mature only</w:t>
      </w:r>
    </w:p>
    <w:p>
      <w:r>
        <w:rPr>
          <w:color w:val="52514E"/>
          <w:sz w:val="18"/>
        </w:rPr>
        <w:t>Space_time_validation/New_proposal/Run_01 · generated 2026-09-23 · one change from Run 0: --maturity "verified mature", 327 sites instead of 600</w:t>
      </w:r>
    </w:p>
    <w:p>
      <w:pPr>
        <w:pStyle w:val="Heading1"/>
      </w:pPr>
      <w:r>
        <w:t>What was changed, and nothing else</w:t>
      </w:r>
    </w:p>
    <w:p>
      <w:r>
        <w:t>The parent folder's Step_03 was run exactly as it stands, with one flag altered. Everything else is Run 0: NVIS-constrained matching, Eq. (1) of the window-mean FPI, all 174 predictors, PCA to 95 per cent of the historical variance, the 99th percentile no-analogue cutoff. No analysis code was written for the matching itself.</w:t>
      </w:r>
    </w:p>
    <w:p>
      <w:pPr>
        <w:pStyle w:val="IntenseQuote"/>
      </w:pPr>
      <w:r>
        <w:t>Step_03 names its outputs from the feature set, the constraint and the averaging order, but not from the maturity classes, so running it with a different --maturity overwrites the published Run 0 results. Step_01 of this folder therefore copies every file Step_03 will touch into a private backup, runs it, takes the results, and puts the backup back - verifying each restored file against a content hash. An earlier version trusted git for this and failed silently, because matches*.csv is in the repository's .gitignore and git can only protect what it tracks; the Run 0 match table had to be regenerated. The backup is now file-level and unconditional.</w:t>
      </w:r>
    </w:p>
    <w:p>
      <w:pPr>
        <w:pStyle w:val="Heading1"/>
      </w:pPr>
      <w:r>
        <w:t>Why this run exists</w:t>
      </w:r>
    </w:p>
    <w:p>
      <w:r>
        <w:t>In the present-day gate the two maturity classes carry almost the same observed biomass and behave completely differently.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872"/>
          </w:tcPr>
          <w:p>
            <w:r>
              <w:rPr>
                <w:b/>
                <w:sz w:val="18"/>
              </w:rPr>
              <w:t>class</w:t>
            </w:r>
          </w:p>
        </w:tc>
        <w:tc>
          <w:tcPr>
            <w:tcW w:type="dxa" w:w="720"/>
          </w:tcPr>
          <w:p>
            <w:r>
              <w:rPr>
                <w:b/>
                <w:sz w:val="18"/>
              </w:rPr>
              <w:t>n</w:t>
            </w:r>
          </w:p>
        </w:tc>
        <w:tc>
          <w:tcPr>
            <w:tcW w:type="dxa" w:w="1296"/>
          </w:tcPr>
          <w:p>
            <w:r>
              <w:rPr>
                <w:b/>
                <w:sz w:val="18"/>
              </w:rPr>
              <w:t>median ratio</w:t>
            </w:r>
          </w:p>
        </w:tc>
        <w:tc>
          <w:tcPr>
            <w:tcW w:type="dxa" w:w="864"/>
          </w:tcPr>
          <w:p>
            <w:r>
              <w:rPr>
                <w:b/>
                <w:sz w:val="18"/>
              </w:rPr>
              <w:t>rho</w:t>
            </w:r>
          </w:p>
        </w:tc>
        <w:tc>
          <w:tcPr>
            <w:tcW w:type="dxa" w:w="1296"/>
          </w:tcPr>
          <w:p>
            <w:r>
              <w:rPr>
                <w:b/>
                <w:sz w:val="18"/>
              </w:rPr>
              <w:t>observed AGB</w:t>
            </w:r>
          </w:p>
        </w:tc>
        <w:tc>
          <w:tcPr>
            <w:tcW w:type="dxa" w:w="1728"/>
          </w:tcPr>
          <w:p>
            <w:r>
              <w:rPr>
                <w:b/>
                <w:sz w:val="18"/>
              </w:rPr>
              <w:t>AGB per m2/ha basal area</w:t>
            </w:r>
          </w:p>
        </w:tc>
        <w:tc>
          <w:tcPr>
            <w:tcW w:type="dxa" w:w="1296"/>
          </w:tcPr>
          <w:p>
            <w:r>
              <w:rPr>
                <w:b/>
                <w:sz w:val="18"/>
              </w:rPr>
              <w:t>plot area (ha)</w:t>
            </w:r>
          </w:p>
        </w:tc>
        <w:tc>
          <w:tcPr>
            <w:tcW w:type="dxa" w:w="1152"/>
          </w:tcPr>
          <w:p>
            <w:r>
              <w:rPr>
                <w:b/>
                <w:sz w:val="18"/>
              </w:rPr>
              <w:t>max DBH (cm)</w:t>
            </w:r>
          </w:p>
        </w:tc>
      </w:tr>
      <w:tr>
        <w:tc>
          <w:tcPr>
            <w:tcW w:type="dxa" w:w="1872"/>
          </w:tcPr>
          <w:p>
            <w:r>
              <w:rPr>
                <w:sz w:val="18"/>
              </w:rPr>
              <w:t>verified mature</w:t>
            </w:r>
          </w:p>
        </w:tc>
        <w:tc>
          <w:tcPr>
            <w:tcW w:type="dxa" w:w="720"/>
          </w:tcPr>
          <w:p>
            <w:r>
              <w:rPr>
                <w:sz w:val="18"/>
              </w:rPr>
              <w:t>327</w:t>
            </w:r>
          </w:p>
        </w:tc>
        <w:tc>
          <w:tcPr>
            <w:tcW w:type="dxa" w:w="1296"/>
          </w:tcPr>
          <w:p>
            <w:r>
              <w:rPr>
                <w:sz w:val="18"/>
              </w:rPr>
              <w:t>0.61</w:t>
            </w:r>
          </w:p>
        </w:tc>
        <w:tc>
          <w:tcPr>
            <w:tcW w:type="dxa" w:w="864"/>
          </w:tcPr>
          <w:p>
            <w:r>
              <w:rPr>
                <w:sz w:val="18"/>
              </w:rPr>
              <w:t>0.49</w:t>
            </w:r>
          </w:p>
        </w:tc>
        <w:tc>
          <w:tcPr>
            <w:tcW w:type="dxa" w:w="1296"/>
          </w:tcPr>
          <w:p>
            <w:r>
              <w:rPr>
                <w:sz w:val="18"/>
              </w:rPr>
              <w:t>117.5</w:t>
            </w:r>
          </w:p>
        </w:tc>
        <w:tc>
          <w:tcPr>
            <w:tcW w:type="dxa" w:w="1728"/>
          </w:tcPr>
          <w:p>
            <w:r>
              <w:rPr>
                <w:sz w:val="18"/>
              </w:rPr>
              <w:t>7.3</w:t>
            </w:r>
          </w:p>
        </w:tc>
        <w:tc>
          <w:tcPr>
            <w:tcW w:type="dxa" w:w="1296"/>
          </w:tcPr>
          <w:p>
            <w:r>
              <w:rPr>
                <w:sz w:val="18"/>
              </w:rPr>
              <w:t>0.40</w:t>
            </w:r>
          </w:p>
        </w:tc>
        <w:tc>
          <w:tcPr>
            <w:tcW w:type="dxa" w:w="1152"/>
          </w:tcPr>
          <w:p>
            <w:r>
              <w:rPr>
                <w:sz w:val="18"/>
              </w:rPr>
              <w:t>68</w:t>
            </w:r>
          </w:p>
        </w:tc>
      </w:tr>
      <w:tr>
        <w:tc>
          <w:tcPr>
            <w:tcW w:type="dxa" w:w="1872"/>
          </w:tcPr>
          <w:p>
            <w:r>
              <w:rPr>
                <w:sz w:val="18"/>
              </w:rPr>
              <w:t>likely mature</w:t>
            </w:r>
          </w:p>
        </w:tc>
        <w:tc>
          <w:tcPr>
            <w:tcW w:type="dxa" w:w="720"/>
          </w:tcPr>
          <w:p>
            <w:r>
              <w:rPr>
                <w:sz w:val="18"/>
              </w:rPr>
              <w:t>273</w:t>
            </w:r>
          </w:p>
        </w:tc>
        <w:tc>
          <w:tcPr>
            <w:tcW w:type="dxa" w:w="1296"/>
          </w:tcPr>
          <w:p>
            <w:r>
              <w:rPr>
                <w:sz w:val="18"/>
              </w:rPr>
              <w:t>0.34</w:t>
            </w:r>
          </w:p>
        </w:tc>
        <w:tc>
          <w:tcPr>
            <w:tcW w:type="dxa" w:w="864"/>
          </w:tcPr>
          <w:p>
            <w:r>
              <w:rPr>
                <w:sz w:val="18"/>
              </w:rPr>
              <w:t>0.39</w:t>
            </w:r>
          </w:p>
        </w:tc>
        <w:tc>
          <w:tcPr>
            <w:tcW w:type="dxa" w:w="1296"/>
          </w:tcPr>
          <w:p>
            <w:r>
              <w:rPr>
                <w:sz w:val="18"/>
              </w:rPr>
              <w:t>109.8</w:t>
            </w:r>
          </w:p>
        </w:tc>
        <w:tc>
          <w:tcPr>
            <w:tcW w:type="dxa" w:w="1728"/>
          </w:tcPr>
          <w:p>
            <w:r>
              <w:rPr>
                <w:sz w:val="18"/>
              </w:rPr>
              <w:t>17.4</w:t>
            </w:r>
          </w:p>
        </w:tc>
        <w:tc>
          <w:tcPr>
            <w:tcW w:type="dxa" w:w="1296"/>
          </w:tcPr>
          <w:p>
            <w:r>
              <w:rPr>
                <w:sz w:val="18"/>
              </w:rPr>
              <w:t>0.24</w:t>
            </w:r>
          </w:p>
        </w:tc>
        <w:tc>
          <w:tcPr>
            <w:tcW w:type="dxa" w:w="1152"/>
          </w:tcPr>
          <w:p>
            <w:r>
              <w:rPr>
                <w:sz w:val="18"/>
              </w:rPr>
              <w:t>40</w:t>
            </w:r>
          </w:p>
        </w:tc>
      </w:tr>
      <w:tr>
        <w:tc>
          <w:tcPr>
            <w:tcW w:type="dxa" w:w="1872"/>
          </w:tcPr>
          <w:p>
            <w:r>
              <w:rPr>
                <w:sz w:val="18"/>
              </w:rPr>
              <w:t>POOLED (Run 0)</w:t>
            </w:r>
          </w:p>
        </w:tc>
        <w:tc>
          <w:tcPr>
            <w:tcW w:type="dxa" w:w="720"/>
          </w:tcPr>
          <w:p>
            <w:r>
              <w:rPr>
                <w:sz w:val="18"/>
              </w:rPr>
              <w:t>600</w:t>
            </w:r>
          </w:p>
        </w:tc>
        <w:tc>
          <w:tcPr>
            <w:tcW w:type="dxa" w:w="1296"/>
          </w:tcPr>
          <w:p>
            <w:r>
              <w:rPr>
                <w:sz w:val="18"/>
              </w:rPr>
              <w:t>0.49</w:t>
            </w:r>
          </w:p>
        </w:tc>
        <w:tc>
          <w:tcPr>
            <w:tcW w:type="dxa" w:w="864"/>
          </w:tcPr>
          <w:p>
            <w:r>
              <w:rPr>
                <w:sz w:val="18"/>
              </w:rPr>
              <w:t>0.42</w:t>
            </w:r>
          </w:p>
        </w:tc>
        <w:tc>
          <w:tcPr>
            <w:tcW w:type="dxa" w:w="1296"/>
          </w:tcPr>
          <w:p>
            <w:r>
              <w:rPr>
                <w:sz w:val="18"/>
              </w:rPr>
              <w:t>112.4</w:t>
            </w:r>
          </w:p>
        </w:tc>
        <w:tc>
          <w:tcPr>
            <w:tcW w:type="dxa" w:w="1728"/>
          </w:tcPr>
          <w:p>
            <w:r>
              <w:rPr>
                <w:sz w:val="18"/>
              </w:rPr>
              <w:t>10.2</w:t>
            </w:r>
          </w:p>
        </w:tc>
        <w:tc>
          <w:tcPr>
            <w:tcW w:type="dxa" w:w="1296"/>
          </w:tcPr>
          <w:p>
            <w:r>
              <w:rPr>
                <w:sz w:val="18"/>
              </w:rPr>
              <w:t>0.24</w:t>
            </w:r>
          </w:p>
        </w:tc>
        <w:tc>
          <w:tcPr>
            <w:tcW w:type="dxa" w:w="1152"/>
          </w:tcPr>
          <w:p>
            <w:r>
              <w:rPr>
                <w:sz w:val="18"/>
              </w:rPr>
              <w:t>52</w:t>
            </w:r>
          </w:p>
        </w:tc>
      </w:tr>
    </w:tbl>
    <w:p/>
    <w:p>
      <w:pPr>
        <w:jc w:val="left"/>
      </w:pPr>
      <w:r>
        <w:rPr>
          <w:i/>
          <w:color w:val="52514E"/>
          <w:sz w:val="18"/>
        </w:rPr>
        <w:t>Table 1. The present-day gate split by maturity class. The last three columns are properties of the OBSERVATION, not of M', so a difference in them is a difference in the data.</w:t>
      </w:r>
    </w:p>
    <w:p>
      <w:r>
        <w:t>The likely-mature group returns a ratio of 0.34 against 0.61, on observed biomass that differs by less than 8 per cent. The explanation is in the last two columns and has nothing to do with maturity. Those sites report 17.4 Mg of biomass per square metre per hectare of their own live basal area, against 7.3 for the verified group - a figure at the very top of what a stand can physically carry - and they were measured on plots 40 per cent smaller. A per-hectare figure from a smaller plot is the same few trees divided by less ground. The likely-mature half is not less mature; it is more inflated.</w:t>
      </w:r>
    </w:p>
    <w:p>
      <w:pPr>
        <w:jc w:val="center"/>
      </w:pPr>
      <w:r>
        <w:drawing>
          <wp:inline xmlns:a="http://schemas.openxmlformats.org/drawingml/2006/main" xmlns:pic="http://schemas.openxmlformats.org/drawingml/2006/picture">
            <wp:extent cx="5760720" cy="1770956"/>
            <wp:docPr id="1" name="Picture 1"/>
            <wp:cNvGraphicFramePr>
              <a:graphicFrameLocks noChangeAspect="1"/>
            </wp:cNvGraphicFramePr>
            <a:graphic>
              <a:graphicData uri="http://schemas.openxmlformats.org/drawingml/2006/picture">
                <pic:pic>
                  <pic:nvPicPr>
                    <pic:cNvPr id="0" name="fig_01_why_run1.png"/>
                    <pic:cNvPicPr/>
                  </pic:nvPicPr>
                  <pic:blipFill>
                    <a:blip r:embed="rId9"/>
                    <a:stretch>
                      <a:fillRect/>
                    </a:stretch>
                  </pic:blipFill>
                  <pic:spPr>
                    <a:xfrm>
                      <a:off x="0" y="0"/>
                      <a:ext cx="5760720" cy="1770956"/>
                    </a:xfrm>
                    <a:prstGeom prst="rect"/>
                  </pic:spPr>
                </pic:pic>
              </a:graphicData>
            </a:graphic>
          </wp:inline>
        </w:drawing>
      </w:r>
    </w:p>
    <w:p>
      <w:pPr>
        <w:jc w:val="left"/>
      </w:pPr>
      <w:r>
        <w:rPr>
          <w:i/>
          <w:color w:val="52514E"/>
          <w:sz w:val="18"/>
        </w:rPr>
        <w:t>Figure 1. The two classes on the quantities that separate them. The first two panels are the result; the last two are the cause.</w:t>
      </w:r>
    </w:p>
    <w:p>
      <w:pPr>
        <w:pStyle w:val="Heading1"/>
      </w:pPr>
      <w:r>
        <w:t>What Run 1 did</w:t>
      </w:r>
    </w:p>
    <w:p>
      <w:pPr>
        <w:pStyle w:val="IntenseQuote"/>
      </w:pPr>
      <w:r>
        <w:t>Across the eight scenario-windows, on the analogue-found sites: the median ratio rises from 0.465 to 0.557 and the rank correlation from 0.269 to 0.371. The hypothesis is confirmed - the likely-mature half was dragging the headline numbers down.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016"/>
          </w:tcPr>
          <w:p>
            <w:r>
              <w:rPr>
                <w:b/>
                <w:sz w:val="18"/>
              </w:rPr>
              <w:t>run</w:t>
            </w:r>
          </w:p>
        </w:tc>
        <w:tc>
          <w:tcPr>
            <w:tcW w:type="dxa" w:w="1296"/>
          </w:tcPr>
          <w:p>
            <w:r>
              <w:rPr>
                <w:b/>
                <w:sz w:val="18"/>
              </w:rPr>
              <w:t>sites 0 / 1</w:t>
            </w:r>
          </w:p>
        </w:tc>
        <w:tc>
          <w:tcPr>
            <w:tcW w:type="dxa" w:w="1152"/>
          </w:tcPr>
          <w:p>
            <w:r>
              <w:rPr>
                <w:b/>
                <w:sz w:val="18"/>
              </w:rPr>
              <w:t>ratio Run 0</w:t>
            </w:r>
          </w:p>
        </w:tc>
        <w:tc>
          <w:tcPr>
            <w:tcW w:type="dxa" w:w="1152"/>
          </w:tcPr>
          <w:p>
            <w:r>
              <w:rPr>
                <w:b/>
                <w:sz w:val="18"/>
              </w:rPr>
              <w:t>ratio Run 1</w:t>
            </w:r>
          </w:p>
        </w:tc>
        <w:tc>
          <w:tcPr>
            <w:tcW w:type="dxa" w:w="1008"/>
          </w:tcPr>
          <w:p>
            <w:r>
              <w:rPr>
                <w:b/>
                <w:sz w:val="18"/>
              </w:rPr>
              <w:t>change</w:t>
            </w:r>
          </w:p>
        </w:tc>
        <w:tc>
          <w:tcPr>
            <w:tcW w:type="dxa" w:w="1152"/>
          </w:tcPr>
          <w:p>
            <w:r>
              <w:rPr>
                <w:b/>
                <w:sz w:val="18"/>
              </w:rPr>
              <w:t>rho Run 0</w:t>
            </w:r>
          </w:p>
        </w:tc>
        <w:tc>
          <w:tcPr>
            <w:tcW w:type="dxa" w:w="1152"/>
          </w:tcPr>
          <w:p>
            <w:r>
              <w:rPr>
                <w:b/>
                <w:sz w:val="18"/>
              </w:rPr>
              <w:t>rho Run 1</w:t>
            </w:r>
          </w:p>
        </w:tc>
        <w:tc>
          <w:tcPr>
            <w:tcW w:type="dxa" w:w="1008"/>
          </w:tcPr>
          <w:p>
            <w:r>
              <w:rPr>
                <w:b/>
                <w:sz w:val="18"/>
              </w:rPr>
              <w:t>change</w:t>
            </w:r>
          </w:p>
        </w:tc>
      </w:tr>
      <w:tr>
        <w:tc>
          <w:tcPr>
            <w:tcW w:type="dxa" w:w="2016"/>
          </w:tcPr>
          <w:p>
            <w:r>
              <w:rPr>
                <w:sz w:val="18"/>
              </w:rPr>
              <w:t>same_cell_present_day</w:t>
            </w:r>
          </w:p>
        </w:tc>
        <w:tc>
          <w:tcPr>
            <w:tcW w:type="dxa" w:w="1296"/>
          </w:tcPr>
          <w:p>
            <w:r>
              <w:rPr>
                <w:sz w:val="18"/>
              </w:rPr>
              <w:t>600 / 327</w:t>
            </w:r>
          </w:p>
        </w:tc>
        <w:tc>
          <w:tcPr>
            <w:tcW w:type="dxa" w:w="1152"/>
          </w:tcPr>
          <w:p>
            <w:r>
              <w:rPr>
                <w:sz w:val="18"/>
              </w:rPr>
              <w:t>0.494</w:t>
            </w:r>
          </w:p>
        </w:tc>
        <w:tc>
          <w:tcPr>
            <w:tcW w:type="dxa" w:w="1152"/>
          </w:tcPr>
          <w:p>
            <w:r>
              <w:rPr>
                <w:sz w:val="18"/>
              </w:rPr>
              <w:t>0.613</w:t>
            </w:r>
          </w:p>
        </w:tc>
        <w:tc>
          <w:tcPr>
            <w:tcW w:type="dxa" w:w="1008"/>
          </w:tcPr>
          <w:p>
            <w:r>
              <w:rPr>
                <w:sz w:val="18"/>
              </w:rPr>
              <w:t>+0.119</w:t>
            </w:r>
          </w:p>
        </w:tc>
        <w:tc>
          <w:tcPr>
            <w:tcW w:type="dxa" w:w="1152"/>
          </w:tcPr>
          <w:p>
            <w:r>
              <w:rPr>
                <w:sz w:val="18"/>
              </w:rPr>
              <w:t>0.418</w:t>
            </w:r>
          </w:p>
        </w:tc>
        <w:tc>
          <w:tcPr>
            <w:tcW w:type="dxa" w:w="1152"/>
          </w:tcPr>
          <w:p>
            <w:r>
              <w:rPr>
                <w:sz w:val="18"/>
              </w:rPr>
              <w:t>0.492</w:t>
            </w:r>
          </w:p>
        </w:tc>
        <w:tc>
          <w:tcPr>
            <w:tcW w:type="dxa" w:w="1008"/>
          </w:tcPr>
          <w:p>
            <w:r>
              <w:rPr>
                <w:sz w:val="18"/>
              </w:rPr>
              <w:t>+0.074</w:t>
            </w:r>
          </w:p>
        </w:tc>
      </w:tr>
      <w:tr>
        <w:tc>
          <w:tcPr>
            <w:tcW w:type="dxa" w:w="2016"/>
          </w:tcPr>
          <w:p>
            <w:r>
              <w:rPr>
                <w:sz w:val="18"/>
              </w:rPr>
              <w:t>historical_analogue</w:t>
            </w:r>
          </w:p>
        </w:tc>
        <w:tc>
          <w:tcPr>
            <w:tcW w:type="dxa" w:w="1296"/>
          </w:tcPr>
          <w:p>
            <w:r>
              <w:rPr>
                <w:sz w:val="18"/>
              </w:rPr>
              <w:t>574 / 305</w:t>
            </w:r>
          </w:p>
        </w:tc>
        <w:tc>
          <w:tcPr>
            <w:tcW w:type="dxa" w:w="1152"/>
          </w:tcPr>
          <w:p>
            <w:r>
              <w:rPr>
                <w:sz w:val="18"/>
              </w:rPr>
              <w:t>0.491</w:t>
            </w:r>
          </w:p>
        </w:tc>
        <w:tc>
          <w:tcPr>
            <w:tcW w:type="dxa" w:w="1152"/>
          </w:tcPr>
          <w:p>
            <w:r>
              <w:rPr>
                <w:sz w:val="18"/>
              </w:rPr>
              <w:t>0.605</w:t>
            </w:r>
          </w:p>
        </w:tc>
        <w:tc>
          <w:tcPr>
            <w:tcW w:type="dxa" w:w="1008"/>
          </w:tcPr>
          <w:p>
            <w:r>
              <w:rPr>
                <w:sz w:val="18"/>
              </w:rPr>
              <w:t>+0.114</w:t>
            </w:r>
          </w:p>
        </w:tc>
        <w:tc>
          <w:tcPr>
            <w:tcW w:type="dxa" w:w="1152"/>
          </w:tcPr>
          <w:p>
            <w:r>
              <w:rPr>
                <w:sz w:val="18"/>
              </w:rPr>
              <w:t>0.300</w:t>
            </w:r>
          </w:p>
        </w:tc>
        <w:tc>
          <w:tcPr>
            <w:tcW w:type="dxa" w:w="1152"/>
          </w:tcPr>
          <w:p>
            <w:r>
              <w:rPr>
                <w:sz w:val="18"/>
              </w:rPr>
              <w:t>0.395</w:t>
            </w:r>
          </w:p>
        </w:tc>
        <w:tc>
          <w:tcPr>
            <w:tcW w:type="dxa" w:w="1008"/>
          </w:tcPr>
          <w:p>
            <w:r>
              <w:rPr>
                <w:sz w:val="18"/>
              </w:rPr>
              <w:t>+0.095</w:t>
            </w:r>
          </w:p>
        </w:tc>
      </w:tr>
      <w:tr>
        <w:tc>
          <w:tcPr>
            <w:tcW w:type="dxa" w:w="2016"/>
          </w:tcPr>
          <w:p>
            <w:r>
              <w:rPr>
                <w:sz w:val="18"/>
              </w:rPr>
              <w:t>random_cells</w:t>
            </w:r>
          </w:p>
        </w:tc>
        <w:tc>
          <w:tcPr>
            <w:tcW w:type="dxa" w:w="1296"/>
          </w:tcPr>
          <w:p>
            <w:r>
              <w:rPr>
                <w:sz w:val="18"/>
              </w:rPr>
              <w:t>600 / 327</w:t>
            </w:r>
          </w:p>
        </w:tc>
        <w:tc>
          <w:tcPr>
            <w:tcW w:type="dxa" w:w="1152"/>
          </w:tcPr>
          <w:p>
            <w:r>
              <w:rPr>
                <w:sz w:val="18"/>
              </w:rPr>
              <w:t>0.445</w:t>
            </w:r>
          </w:p>
        </w:tc>
        <w:tc>
          <w:tcPr>
            <w:tcW w:type="dxa" w:w="1152"/>
          </w:tcPr>
          <w:p>
            <w:r>
              <w:rPr>
                <w:sz w:val="18"/>
              </w:rPr>
              <w:t>0.478</w:t>
            </w:r>
          </w:p>
        </w:tc>
        <w:tc>
          <w:tcPr>
            <w:tcW w:type="dxa" w:w="1008"/>
          </w:tcPr>
          <w:p>
            <w:r>
              <w:rPr>
                <w:sz w:val="18"/>
              </w:rPr>
              <w:t>+0.033</w:t>
            </w:r>
          </w:p>
        </w:tc>
        <w:tc>
          <w:tcPr>
            <w:tcW w:type="dxa" w:w="1152"/>
          </w:tcPr>
          <w:p>
            <w:r>
              <w:rPr>
                <w:sz w:val="18"/>
              </w:rPr>
              <w:t>0.205</w:t>
            </w:r>
          </w:p>
        </w:tc>
        <w:tc>
          <w:tcPr>
            <w:tcW w:type="dxa" w:w="1152"/>
          </w:tcPr>
          <w:p>
            <w:r>
              <w:rPr>
                <w:sz w:val="18"/>
              </w:rPr>
              <w:t>0.286</w:t>
            </w:r>
          </w:p>
        </w:tc>
        <w:tc>
          <w:tcPr>
            <w:tcW w:type="dxa" w:w="1008"/>
          </w:tcPr>
          <w:p>
            <w:r>
              <w:rPr>
                <w:sz w:val="18"/>
              </w:rPr>
              <w:t>+0.081</w:t>
            </w:r>
          </w:p>
        </w:tc>
      </w:tr>
      <w:tr>
        <w:tc>
          <w:tcPr>
            <w:tcW w:type="dxa" w:w="2016"/>
          </w:tcPr>
          <w:p>
            <w:r>
              <w:rPr>
                <w:sz w:val="18"/>
              </w:rPr>
              <w:t>ssp126_2035-2064</w:t>
            </w:r>
          </w:p>
        </w:tc>
        <w:tc>
          <w:tcPr>
            <w:tcW w:type="dxa" w:w="1296"/>
          </w:tcPr>
          <w:p>
            <w:r>
              <w:rPr>
                <w:sz w:val="18"/>
              </w:rPr>
              <w:t>550 / 295</w:t>
            </w:r>
          </w:p>
        </w:tc>
        <w:tc>
          <w:tcPr>
            <w:tcW w:type="dxa" w:w="1152"/>
          </w:tcPr>
          <w:p>
            <w:r>
              <w:rPr>
                <w:sz w:val="18"/>
              </w:rPr>
              <w:t>0.465</w:t>
            </w:r>
          </w:p>
        </w:tc>
        <w:tc>
          <w:tcPr>
            <w:tcW w:type="dxa" w:w="1152"/>
          </w:tcPr>
          <w:p>
            <w:r>
              <w:rPr>
                <w:sz w:val="18"/>
              </w:rPr>
              <w:t>0.597</w:t>
            </w:r>
          </w:p>
        </w:tc>
        <w:tc>
          <w:tcPr>
            <w:tcW w:type="dxa" w:w="1008"/>
          </w:tcPr>
          <w:p>
            <w:r>
              <w:rPr>
                <w:sz w:val="18"/>
              </w:rPr>
              <w:t>+0.132</w:t>
            </w:r>
          </w:p>
        </w:tc>
        <w:tc>
          <w:tcPr>
            <w:tcW w:type="dxa" w:w="1152"/>
          </w:tcPr>
          <w:p>
            <w:r>
              <w:rPr>
                <w:sz w:val="18"/>
              </w:rPr>
              <w:t>0.273</w:t>
            </w:r>
          </w:p>
        </w:tc>
        <w:tc>
          <w:tcPr>
            <w:tcW w:type="dxa" w:w="1152"/>
          </w:tcPr>
          <w:p>
            <w:r>
              <w:rPr>
                <w:sz w:val="18"/>
              </w:rPr>
              <w:t>0.368</w:t>
            </w:r>
          </w:p>
        </w:tc>
        <w:tc>
          <w:tcPr>
            <w:tcW w:type="dxa" w:w="1008"/>
          </w:tcPr>
          <w:p>
            <w:r>
              <w:rPr>
                <w:sz w:val="18"/>
              </w:rPr>
              <w:t>+0.096</w:t>
            </w:r>
          </w:p>
        </w:tc>
      </w:tr>
      <w:tr>
        <w:tc>
          <w:tcPr>
            <w:tcW w:type="dxa" w:w="2016"/>
          </w:tcPr>
          <w:p>
            <w:r>
              <w:rPr>
                <w:sz w:val="18"/>
              </w:rPr>
              <w:t>ssp245_2035-2064</w:t>
            </w:r>
          </w:p>
        </w:tc>
        <w:tc>
          <w:tcPr>
            <w:tcW w:type="dxa" w:w="1296"/>
          </w:tcPr>
          <w:p>
            <w:r>
              <w:rPr>
                <w:sz w:val="18"/>
              </w:rPr>
              <w:t>542 / 292</w:t>
            </w:r>
          </w:p>
        </w:tc>
        <w:tc>
          <w:tcPr>
            <w:tcW w:type="dxa" w:w="1152"/>
          </w:tcPr>
          <w:p>
            <w:r>
              <w:rPr>
                <w:sz w:val="18"/>
              </w:rPr>
              <w:t>0.470</w:t>
            </w:r>
          </w:p>
        </w:tc>
        <w:tc>
          <w:tcPr>
            <w:tcW w:type="dxa" w:w="1152"/>
          </w:tcPr>
          <w:p>
            <w:r>
              <w:rPr>
                <w:sz w:val="18"/>
              </w:rPr>
              <w:t>0.568</w:t>
            </w:r>
          </w:p>
        </w:tc>
        <w:tc>
          <w:tcPr>
            <w:tcW w:type="dxa" w:w="1008"/>
          </w:tcPr>
          <w:p>
            <w:r>
              <w:rPr>
                <w:sz w:val="18"/>
              </w:rPr>
              <w:t>+0.099</w:t>
            </w:r>
          </w:p>
        </w:tc>
        <w:tc>
          <w:tcPr>
            <w:tcW w:type="dxa" w:w="1152"/>
          </w:tcPr>
          <w:p>
            <w:r>
              <w:rPr>
                <w:sz w:val="18"/>
              </w:rPr>
              <w:t>0.272</w:t>
            </w:r>
          </w:p>
        </w:tc>
        <w:tc>
          <w:tcPr>
            <w:tcW w:type="dxa" w:w="1152"/>
          </w:tcPr>
          <w:p>
            <w:r>
              <w:rPr>
                <w:sz w:val="18"/>
              </w:rPr>
              <w:t>0.381</w:t>
            </w:r>
          </w:p>
        </w:tc>
        <w:tc>
          <w:tcPr>
            <w:tcW w:type="dxa" w:w="1008"/>
          </w:tcPr>
          <w:p>
            <w:r>
              <w:rPr>
                <w:sz w:val="18"/>
              </w:rPr>
              <w:t>+0.110</w:t>
            </w:r>
          </w:p>
        </w:tc>
      </w:tr>
      <w:tr>
        <w:tc>
          <w:tcPr>
            <w:tcW w:type="dxa" w:w="2016"/>
          </w:tcPr>
          <w:p>
            <w:r>
              <w:rPr>
                <w:sz w:val="18"/>
              </w:rPr>
              <w:t>ssp370_2035-2064</w:t>
            </w:r>
          </w:p>
        </w:tc>
        <w:tc>
          <w:tcPr>
            <w:tcW w:type="dxa" w:w="1296"/>
          </w:tcPr>
          <w:p>
            <w:r>
              <w:rPr>
                <w:sz w:val="18"/>
              </w:rPr>
              <w:t>518 / 273</w:t>
            </w:r>
          </w:p>
        </w:tc>
        <w:tc>
          <w:tcPr>
            <w:tcW w:type="dxa" w:w="1152"/>
          </w:tcPr>
          <w:p>
            <w:r>
              <w:rPr>
                <w:sz w:val="18"/>
              </w:rPr>
              <w:t>0.464</w:t>
            </w:r>
          </w:p>
        </w:tc>
        <w:tc>
          <w:tcPr>
            <w:tcW w:type="dxa" w:w="1152"/>
          </w:tcPr>
          <w:p>
            <w:r>
              <w:rPr>
                <w:sz w:val="18"/>
              </w:rPr>
              <w:t>0.558</w:t>
            </w:r>
          </w:p>
        </w:tc>
        <w:tc>
          <w:tcPr>
            <w:tcW w:type="dxa" w:w="1008"/>
          </w:tcPr>
          <w:p>
            <w:r>
              <w:rPr>
                <w:sz w:val="18"/>
              </w:rPr>
              <w:t>+0.093</w:t>
            </w:r>
          </w:p>
        </w:tc>
        <w:tc>
          <w:tcPr>
            <w:tcW w:type="dxa" w:w="1152"/>
          </w:tcPr>
          <w:p>
            <w:r>
              <w:rPr>
                <w:sz w:val="18"/>
              </w:rPr>
              <w:t>0.266</w:t>
            </w:r>
          </w:p>
        </w:tc>
        <w:tc>
          <w:tcPr>
            <w:tcW w:type="dxa" w:w="1152"/>
          </w:tcPr>
          <w:p>
            <w:r>
              <w:rPr>
                <w:sz w:val="18"/>
              </w:rPr>
              <w:t>0.434</w:t>
            </w:r>
          </w:p>
        </w:tc>
        <w:tc>
          <w:tcPr>
            <w:tcW w:type="dxa" w:w="1008"/>
          </w:tcPr>
          <w:p>
            <w:r>
              <w:rPr>
                <w:sz w:val="18"/>
              </w:rPr>
              <w:t>+0.168</w:t>
            </w:r>
          </w:p>
        </w:tc>
      </w:tr>
      <w:tr>
        <w:tc>
          <w:tcPr>
            <w:tcW w:type="dxa" w:w="2016"/>
          </w:tcPr>
          <w:p>
            <w:r>
              <w:rPr>
                <w:sz w:val="18"/>
              </w:rPr>
              <w:t>ssp585_2035-2064</w:t>
            </w:r>
          </w:p>
        </w:tc>
        <w:tc>
          <w:tcPr>
            <w:tcW w:type="dxa" w:w="1296"/>
          </w:tcPr>
          <w:p>
            <w:r>
              <w:rPr>
                <w:sz w:val="18"/>
              </w:rPr>
              <w:t>489 / 254</w:t>
            </w:r>
          </w:p>
        </w:tc>
        <w:tc>
          <w:tcPr>
            <w:tcW w:type="dxa" w:w="1152"/>
          </w:tcPr>
          <w:p>
            <w:r>
              <w:rPr>
                <w:sz w:val="18"/>
              </w:rPr>
              <w:t>0.427</w:t>
            </w:r>
          </w:p>
        </w:tc>
        <w:tc>
          <w:tcPr>
            <w:tcW w:type="dxa" w:w="1152"/>
          </w:tcPr>
          <w:p>
            <w:r>
              <w:rPr>
                <w:sz w:val="18"/>
              </w:rPr>
              <w:t>0.555</w:t>
            </w:r>
          </w:p>
        </w:tc>
        <w:tc>
          <w:tcPr>
            <w:tcW w:type="dxa" w:w="1008"/>
          </w:tcPr>
          <w:p>
            <w:r>
              <w:rPr>
                <w:sz w:val="18"/>
              </w:rPr>
              <w:t>+0.128</w:t>
            </w:r>
          </w:p>
        </w:tc>
        <w:tc>
          <w:tcPr>
            <w:tcW w:type="dxa" w:w="1152"/>
          </w:tcPr>
          <w:p>
            <w:r>
              <w:rPr>
                <w:sz w:val="18"/>
              </w:rPr>
              <w:t>0.243</w:t>
            </w:r>
          </w:p>
        </w:tc>
        <w:tc>
          <w:tcPr>
            <w:tcW w:type="dxa" w:w="1152"/>
          </w:tcPr>
          <w:p>
            <w:r>
              <w:rPr>
                <w:sz w:val="18"/>
              </w:rPr>
              <w:t>0.376</w:t>
            </w:r>
          </w:p>
        </w:tc>
        <w:tc>
          <w:tcPr>
            <w:tcW w:type="dxa" w:w="1008"/>
          </w:tcPr>
          <w:p>
            <w:r>
              <w:rPr>
                <w:sz w:val="18"/>
              </w:rPr>
              <w:t>+0.133</w:t>
            </w:r>
          </w:p>
        </w:tc>
      </w:tr>
      <w:tr>
        <w:tc>
          <w:tcPr>
            <w:tcW w:type="dxa" w:w="2016"/>
          </w:tcPr>
          <w:p>
            <w:r>
              <w:rPr>
                <w:sz w:val="18"/>
              </w:rPr>
              <w:t>ssp126_2070-2099</w:t>
            </w:r>
          </w:p>
        </w:tc>
        <w:tc>
          <w:tcPr>
            <w:tcW w:type="dxa" w:w="1296"/>
          </w:tcPr>
          <w:p>
            <w:r>
              <w:rPr>
                <w:sz w:val="18"/>
              </w:rPr>
              <w:t>535 / 285</w:t>
            </w:r>
          </w:p>
        </w:tc>
        <w:tc>
          <w:tcPr>
            <w:tcW w:type="dxa" w:w="1152"/>
          </w:tcPr>
          <w:p>
            <w:r>
              <w:rPr>
                <w:sz w:val="18"/>
              </w:rPr>
              <w:t>0.441</w:t>
            </w:r>
          </w:p>
        </w:tc>
        <w:tc>
          <w:tcPr>
            <w:tcW w:type="dxa" w:w="1152"/>
          </w:tcPr>
          <w:p>
            <w:r>
              <w:rPr>
                <w:sz w:val="18"/>
              </w:rPr>
              <w:t>0.557</w:t>
            </w:r>
          </w:p>
        </w:tc>
        <w:tc>
          <w:tcPr>
            <w:tcW w:type="dxa" w:w="1008"/>
          </w:tcPr>
          <w:p>
            <w:r>
              <w:rPr>
                <w:sz w:val="18"/>
              </w:rPr>
              <w:t>+0.116</w:t>
            </w:r>
          </w:p>
        </w:tc>
        <w:tc>
          <w:tcPr>
            <w:tcW w:type="dxa" w:w="1152"/>
          </w:tcPr>
          <w:p>
            <w:r>
              <w:rPr>
                <w:sz w:val="18"/>
              </w:rPr>
              <w:t>0.230</w:t>
            </w:r>
          </w:p>
        </w:tc>
        <w:tc>
          <w:tcPr>
            <w:tcW w:type="dxa" w:w="1152"/>
          </w:tcPr>
          <w:p>
            <w:r>
              <w:rPr>
                <w:sz w:val="18"/>
              </w:rPr>
              <w:t>0.352</w:t>
            </w:r>
          </w:p>
        </w:tc>
        <w:tc>
          <w:tcPr>
            <w:tcW w:type="dxa" w:w="1008"/>
          </w:tcPr>
          <w:p>
            <w:r>
              <w:rPr>
                <w:sz w:val="18"/>
              </w:rPr>
              <w:t>+0.122</w:t>
            </w:r>
          </w:p>
        </w:tc>
      </w:tr>
      <w:tr>
        <w:tc>
          <w:tcPr>
            <w:tcW w:type="dxa" w:w="2016"/>
          </w:tcPr>
          <w:p>
            <w:r>
              <w:rPr>
                <w:sz w:val="18"/>
              </w:rPr>
              <w:t>ssp245_2070-2099</w:t>
            </w:r>
          </w:p>
        </w:tc>
        <w:tc>
          <w:tcPr>
            <w:tcW w:type="dxa" w:w="1296"/>
          </w:tcPr>
          <w:p>
            <w:r>
              <w:rPr>
                <w:sz w:val="18"/>
              </w:rPr>
              <w:t>287 / 148</w:t>
            </w:r>
          </w:p>
        </w:tc>
        <w:tc>
          <w:tcPr>
            <w:tcW w:type="dxa" w:w="1152"/>
          </w:tcPr>
          <w:p>
            <w:r>
              <w:rPr>
                <w:sz w:val="18"/>
              </w:rPr>
              <w:t>0.365</w:t>
            </w:r>
          </w:p>
        </w:tc>
        <w:tc>
          <w:tcPr>
            <w:tcW w:type="dxa" w:w="1152"/>
          </w:tcPr>
          <w:p>
            <w:r>
              <w:rPr>
                <w:sz w:val="18"/>
              </w:rPr>
              <w:t>0.447</w:t>
            </w:r>
          </w:p>
        </w:tc>
        <w:tc>
          <w:tcPr>
            <w:tcW w:type="dxa" w:w="1008"/>
          </w:tcPr>
          <w:p>
            <w:r>
              <w:rPr>
                <w:sz w:val="18"/>
              </w:rPr>
              <w:t>+0.082</w:t>
            </w:r>
          </w:p>
        </w:tc>
        <w:tc>
          <w:tcPr>
            <w:tcW w:type="dxa" w:w="1152"/>
          </w:tcPr>
          <w:p>
            <w:r>
              <w:rPr>
                <w:sz w:val="18"/>
              </w:rPr>
              <w:t>0.287</w:t>
            </w:r>
          </w:p>
        </w:tc>
        <w:tc>
          <w:tcPr>
            <w:tcW w:type="dxa" w:w="1152"/>
          </w:tcPr>
          <w:p>
            <w:r>
              <w:rPr>
                <w:sz w:val="18"/>
              </w:rPr>
              <w:t>0.373</w:t>
            </w:r>
          </w:p>
        </w:tc>
        <w:tc>
          <w:tcPr>
            <w:tcW w:type="dxa" w:w="1008"/>
          </w:tcPr>
          <w:p>
            <w:r>
              <w:rPr>
                <w:sz w:val="18"/>
              </w:rPr>
              <w:t>+0.086</w:t>
            </w:r>
          </w:p>
        </w:tc>
      </w:tr>
      <w:tr>
        <w:tc>
          <w:tcPr>
            <w:tcW w:type="dxa" w:w="2016"/>
          </w:tcPr>
          <w:p>
            <w:r>
              <w:rPr>
                <w:sz w:val="18"/>
              </w:rPr>
              <w:t>ssp370_2070-2099</w:t>
            </w:r>
          </w:p>
        </w:tc>
        <w:tc>
          <w:tcPr>
            <w:tcW w:type="dxa" w:w="1296"/>
          </w:tcPr>
          <w:p>
            <w:r>
              <w:rPr>
                <w:sz w:val="18"/>
              </w:rPr>
              <w:t>62 / 41</w:t>
            </w:r>
          </w:p>
        </w:tc>
        <w:tc>
          <w:tcPr>
            <w:tcW w:type="dxa" w:w="1152"/>
          </w:tcPr>
          <w:p>
            <w:r>
              <w:rPr>
                <w:sz w:val="18"/>
              </w:rPr>
              <w:t>0.557</w:t>
            </w:r>
          </w:p>
        </w:tc>
        <w:tc>
          <w:tcPr>
            <w:tcW w:type="dxa" w:w="1152"/>
          </w:tcPr>
          <w:p>
            <w:r>
              <w:rPr>
                <w:sz w:val="18"/>
              </w:rPr>
              <w:t>0.393</w:t>
            </w:r>
          </w:p>
        </w:tc>
        <w:tc>
          <w:tcPr>
            <w:tcW w:type="dxa" w:w="1008"/>
          </w:tcPr>
          <w:p>
            <w:r>
              <w:rPr>
                <w:sz w:val="18"/>
              </w:rPr>
              <w:t>-0.164</w:t>
            </w:r>
          </w:p>
        </w:tc>
        <w:tc>
          <w:tcPr>
            <w:tcW w:type="dxa" w:w="1152"/>
          </w:tcPr>
          <w:p>
            <w:r>
              <w:rPr>
                <w:sz w:val="18"/>
              </w:rPr>
              <w:t>0.055</w:t>
            </w:r>
          </w:p>
        </w:tc>
        <w:tc>
          <w:tcPr>
            <w:tcW w:type="dxa" w:w="1152"/>
          </w:tcPr>
          <w:p>
            <w:r>
              <w:rPr>
                <w:sz w:val="18"/>
              </w:rPr>
              <w:t>0.114</w:t>
            </w:r>
          </w:p>
        </w:tc>
        <w:tc>
          <w:tcPr>
            <w:tcW w:type="dxa" w:w="1008"/>
          </w:tcPr>
          <w:p>
            <w:r>
              <w:rPr>
                <w:sz w:val="18"/>
              </w:rPr>
              <w:t>+0.059</w:t>
            </w:r>
          </w:p>
        </w:tc>
      </w:tr>
      <w:tr>
        <w:tc>
          <w:tcPr>
            <w:tcW w:type="dxa" w:w="2016"/>
          </w:tcPr>
          <w:p>
            <w:r>
              <w:rPr>
                <w:sz w:val="18"/>
              </w:rPr>
              <w:t>ssp585_2070-2099</w:t>
            </w:r>
          </w:p>
        </w:tc>
        <w:tc>
          <w:tcPr>
            <w:tcW w:type="dxa" w:w="1296"/>
          </w:tcPr>
          <w:p>
            <w:r>
              <w:rPr>
                <w:sz w:val="18"/>
              </w:rPr>
              <w:t>15 / 14</w:t>
            </w:r>
          </w:p>
        </w:tc>
        <w:tc>
          <w:tcPr>
            <w:tcW w:type="dxa" w:w="1152"/>
          </w:tcPr>
          <w:p>
            <w:r>
              <w:rPr>
                <w:sz w:val="18"/>
              </w:rPr>
              <w:t>0.742</w:t>
            </w:r>
          </w:p>
        </w:tc>
        <w:tc>
          <w:tcPr>
            <w:tcW w:type="dxa" w:w="1152"/>
          </w:tcPr>
          <w:p>
            <w:r>
              <w:rPr>
                <w:sz w:val="18"/>
              </w:rPr>
              <w:t>0.613</w:t>
            </w:r>
          </w:p>
        </w:tc>
        <w:tc>
          <w:tcPr>
            <w:tcW w:type="dxa" w:w="1008"/>
          </w:tcPr>
          <w:p>
            <w:r>
              <w:rPr>
                <w:sz w:val="18"/>
              </w:rPr>
              <w:t>-0.129</w:t>
            </w:r>
          </w:p>
        </w:tc>
        <w:tc>
          <w:tcPr>
            <w:tcW w:type="dxa" w:w="1152"/>
          </w:tcPr>
          <w:p>
            <w:r>
              <w:rPr>
                <w:sz w:val="18"/>
              </w:rPr>
              <w:t>0.389</w:t>
            </w:r>
          </w:p>
        </w:tc>
        <w:tc>
          <w:tcPr>
            <w:tcW w:type="dxa" w:w="1152"/>
          </w:tcPr>
          <w:p>
            <w:r>
              <w:rPr>
                <w:sz w:val="18"/>
              </w:rPr>
              <w:t>0.248</w:t>
            </w:r>
          </w:p>
        </w:tc>
        <w:tc>
          <w:tcPr>
            <w:tcW w:type="dxa" w:w="1008"/>
          </w:tcPr>
          <w:p>
            <w:r>
              <w:rPr>
                <w:sz w:val="18"/>
              </w:rPr>
              <w:t>-0.142</w:t>
            </w:r>
          </w:p>
        </w:tc>
      </w:tr>
    </w:tbl>
    <w:p/>
    <w:p>
      <w:pPr>
        <w:jc w:val="left"/>
      </w:pPr>
      <w:r>
        <w:rPr>
          <w:i/>
          <w:color w:val="52514E"/>
          <w:sz w:val="18"/>
        </w:rPr>
        <w:t>Table 2. Every run, analogue-found stratum only.</w:t>
      </w:r>
    </w:p>
    <w:p>
      <w:pPr>
        <w:jc w:val="center"/>
      </w:pPr>
      <w:r>
        <w:drawing>
          <wp:inline xmlns:a="http://schemas.openxmlformats.org/drawingml/2006/main" xmlns:pic="http://schemas.openxmlformats.org/drawingml/2006/picture">
            <wp:extent cx="5760720" cy="4406388"/>
            <wp:docPr id="2" name="Picture 2"/>
            <wp:cNvGraphicFramePr>
              <a:graphicFrameLocks noChangeAspect="1"/>
            </wp:cNvGraphicFramePr>
            <a:graphic>
              <a:graphicData uri="http://schemas.openxmlformats.org/drawingml/2006/picture">
                <pic:pic>
                  <pic:nvPicPr>
                    <pic:cNvPr id="0" name="fig_02_run1_vs_run0.png"/>
                    <pic:cNvPicPr/>
                  </pic:nvPicPr>
                  <pic:blipFill>
                    <a:blip r:embed="rId10"/>
                    <a:stretch>
                      <a:fillRect/>
                    </a:stretch>
                  </pic:blipFill>
                  <pic:spPr>
                    <a:xfrm>
                      <a:off x="0" y="0"/>
                      <a:ext cx="5760720" cy="4406388"/>
                    </a:xfrm>
                    <a:prstGeom prst="rect"/>
                  </pic:spPr>
                </pic:pic>
              </a:graphicData>
            </a:graphic>
          </wp:inline>
        </w:drawing>
      </w:r>
    </w:p>
    <w:p>
      <w:pPr>
        <w:jc w:val="left"/>
      </w:pPr>
      <w:r>
        <w:rPr>
          <w:i/>
          <w:color w:val="52514E"/>
          <w:sz w:val="18"/>
        </w:rPr>
        <w:t>Figure 2. Run 1 against Run 0 per scenario-window, with both nulls drawn in as horizontal lines.</w:t>
      </w:r>
    </w:p>
    <w:p>
      <w:r>
        <w:t>Two windows move the other way - SSP370 and SSP585 2070-2099 - and they should not be read. They retain 41 and 14 sites of 327. Under every configuration those two windows are extrapolation beyond what the observations constrain, and Run 1 halving the sample makes them worse, not better.</w:t>
      </w:r>
    </w:p>
    <w:p>
      <w:pPr>
        <w:pStyle w:val="Heading1"/>
      </w:pPr>
      <w:r>
        <w:t>What it is worth, once both nulls are read</w:t>
      </w:r>
    </w:p>
    <w:p>
      <w:r>
        <w:t>A null drawn from the same 327 sites is easier to beat for exactly the reason the runs are: the sample is cleaner. So the change in the runs overstates what the change bought. The honest measure is the GAP between the runs and their own null, and both nulls have to be there because they answer different questions.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152"/>
          </w:tcPr>
          <w:p>
            <w:r>
              <w:rPr>
                <w:b/>
                <w:sz w:val="18"/>
              </w:rPr>
              <w:t>run</w:t>
            </w:r>
          </w:p>
        </w:tc>
        <w:tc>
          <w:tcPr>
            <w:tcW w:type="dxa" w:w="2016"/>
          </w:tcPr>
          <w:p>
            <w:r>
              <w:rPr>
                <w:b/>
                <w:sz w:val="18"/>
              </w:rPr>
              <w:t>null</w:t>
            </w:r>
          </w:p>
        </w:tc>
        <w:tc>
          <w:tcPr>
            <w:tcW w:type="dxa" w:w="720"/>
          </w:tcPr>
          <w:p>
            <w:r>
              <w:rPr>
                <w:b/>
                <w:sz w:val="18"/>
              </w:rPr>
              <w:t>n</w:t>
            </w:r>
          </w:p>
        </w:tc>
        <w:tc>
          <w:tcPr>
            <w:tcW w:type="dxa" w:w="1440"/>
          </w:tcPr>
          <w:p>
            <w:r>
              <w:rPr>
                <w:b/>
                <w:sz w:val="18"/>
              </w:rPr>
              <w:t>null ratio</w:t>
            </w:r>
          </w:p>
        </w:tc>
        <w:tc>
          <w:tcPr>
            <w:tcW w:type="dxa" w:w="1440"/>
          </w:tcPr>
          <w:p>
            <w:r>
              <w:rPr>
                <w:b/>
                <w:sz w:val="18"/>
              </w:rPr>
              <w:t>null rho</w:t>
            </w:r>
          </w:p>
        </w:tc>
        <w:tc>
          <w:tcPr>
            <w:tcW w:type="dxa" w:w="2160"/>
          </w:tcPr>
          <w:p>
            <w:r>
              <w:rPr>
                <w:b/>
                <w:sz w:val="18"/>
              </w:rPr>
              <w:t>gap: runs minus null, rho</w:t>
            </w:r>
          </w:p>
        </w:tc>
      </w:tr>
      <w:tr>
        <w:tc>
          <w:tcPr>
            <w:tcW w:type="dxa" w:w="1152"/>
          </w:tcPr>
          <w:p>
            <w:r>
              <w:rPr>
                <w:sz w:val="18"/>
              </w:rPr>
              <w:t>Run 0</w:t>
            </w:r>
          </w:p>
        </w:tc>
        <w:tc>
          <w:tcPr>
            <w:tcW w:type="dxa" w:w="2016"/>
          </w:tcPr>
          <w:p>
            <w:r>
              <w:rPr>
                <w:sz w:val="18"/>
              </w:rPr>
              <w:t>NVIS-constrained</w:t>
            </w:r>
          </w:p>
        </w:tc>
        <w:tc>
          <w:tcPr>
            <w:tcW w:type="dxa" w:w="720"/>
          </w:tcPr>
          <w:p>
            <w:r>
              <w:rPr>
                <w:sz w:val="18"/>
              </w:rPr>
              <w:t>600</w:t>
            </w:r>
          </w:p>
        </w:tc>
        <w:tc>
          <w:tcPr>
            <w:tcW w:type="dxa" w:w="1440"/>
          </w:tcPr>
          <w:p>
            <w:r>
              <w:rPr>
                <w:sz w:val="18"/>
              </w:rPr>
              <w:t>0.445</w:t>
            </w:r>
          </w:p>
        </w:tc>
        <w:tc>
          <w:tcPr>
            <w:tcW w:type="dxa" w:w="1440"/>
          </w:tcPr>
          <w:p>
            <w:r>
              <w:rPr>
                <w:sz w:val="18"/>
              </w:rPr>
              <w:t>0.205</w:t>
            </w:r>
          </w:p>
        </w:tc>
        <w:tc>
          <w:tcPr>
            <w:tcW w:type="dxa" w:w="2160"/>
          </w:tcPr>
          <w:p>
            <w:r>
              <w:rPr>
                <w:sz w:val="18"/>
              </w:rPr>
              <w:t>+0.064</w:t>
            </w:r>
          </w:p>
        </w:tc>
      </w:tr>
      <w:tr>
        <w:tc>
          <w:tcPr>
            <w:tcW w:type="dxa" w:w="1152"/>
          </w:tcPr>
          <w:p>
            <w:r>
              <w:rPr>
                <w:sz w:val="18"/>
              </w:rPr>
              <w:t>Run 0</w:t>
            </w:r>
          </w:p>
        </w:tc>
        <w:tc>
          <w:tcPr>
            <w:tcW w:type="dxa" w:w="2016"/>
          </w:tcPr>
          <w:p>
            <w:r>
              <w:rPr>
                <w:sz w:val="18"/>
              </w:rPr>
              <w:t>unconstrained</w:t>
            </w:r>
          </w:p>
        </w:tc>
        <w:tc>
          <w:tcPr>
            <w:tcW w:type="dxa" w:w="720"/>
          </w:tcPr>
          <w:p>
            <w:r>
              <w:rPr>
                <w:sz w:val="18"/>
              </w:rPr>
              <w:t>600</w:t>
            </w:r>
          </w:p>
        </w:tc>
        <w:tc>
          <w:tcPr>
            <w:tcW w:type="dxa" w:w="1440"/>
          </w:tcPr>
          <w:p>
            <w:r>
              <w:rPr>
                <w:sz w:val="18"/>
              </w:rPr>
              <w:t>0.210</w:t>
            </w:r>
          </w:p>
        </w:tc>
        <w:tc>
          <w:tcPr>
            <w:tcW w:type="dxa" w:w="1440"/>
          </w:tcPr>
          <w:p>
            <w:r>
              <w:rPr>
                <w:sz w:val="18"/>
              </w:rPr>
              <w:t>0.029</w:t>
            </w:r>
          </w:p>
        </w:tc>
        <w:tc>
          <w:tcPr>
            <w:tcW w:type="dxa" w:w="2160"/>
          </w:tcPr>
          <w:p>
            <w:r>
              <w:rPr>
                <w:sz w:val="18"/>
              </w:rPr>
              <w:t>+0.240</w:t>
            </w:r>
          </w:p>
        </w:tc>
      </w:tr>
      <w:tr>
        <w:tc>
          <w:tcPr>
            <w:tcW w:type="dxa" w:w="1152"/>
          </w:tcPr>
          <w:p>
            <w:r>
              <w:rPr>
                <w:sz w:val="18"/>
              </w:rPr>
              <w:t>Run 1</w:t>
            </w:r>
          </w:p>
        </w:tc>
        <w:tc>
          <w:tcPr>
            <w:tcW w:type="dxa" w:w="2016"/>
          </w:tcPr>
          <w:p>
            <w:r>
              <w:rPr>
                <w:sz w:val="18"/>
              </w:rPr>
              <w:t>NVIS-constrained</w:t>
            </w:r>
          </w:p>
        </w:tc>
        <w:tc>
          <w:tcPr>
            <w:tcW w:type="dxa" w:w="720"/>
          </w:tcPr>
          <w:p>
            <w:r>
              <w:rPr>
                <w:sz w:val="18"/>
              </w:rPr>
              <w:t>327</w:t>
            </w:r>
          </w:p>
        </w:tc>
        <w:tc>
          <w:tcPr>
            <w:tcW w:type="dxa" w:w="1440"/>
          </w:tcPr>
          <w:p>
            <w:r>
              <w:rPr>
                <w:sz w:val="18"/>
              </w:rPr>
              <w:t>0.478</w:t>
            </w:r>
          </w:p>
        </w:tc>
        <w:tc>
          <w:tcPr>
            <w:tcW w:type="dxa" w:w="1440"/>
          </w:tcPr>
          <w:p>
            <w:r>
              <w:rPr>
                <w:sz w:val="18"/>
              </w:rPr>
              <w:t>0.286</w:t>
            </w:r>
          </w:p>
        </w:tc>
        <w:tc>
          <w:tcPr>
            <w:tcW w:type="dxa" w:w="2160"/>
          </w:tcPr>
          <w:p>
            <w:r>
              <w:rPr>
                <w:sz w:val="18"/>
              </w:rPr>
              <w:t>+0.084</w:t>
            </w:r>
          </w:p>
        </w:tc>
      </w:tr>
      <w:tr>
        <w:tc>
          <w:tcPr>
            <w:tcW w:type="dxa" w:w="1152"/>
          </w:tcPr>
          <w:p>
            <w:r>
              <w:rPr>
                <w:sz w:val="18"/>
              </w:rPr>
              <w:t>Run 1</w:t>
            </w:r>
          </w:p>
        </w:tc>
        <w:tc>
          <w:tcPr>
            <w:tcW w:type="dxa" w:w="2016"/>
          </w:tcPr>
          <w:p>
            <w:r>
              <w:rPr>
                <w:sz w:val="18"/>
              </w:rPr>
              <w:t>unconstrained</w:t>
            </w:r>
          </w:p>
        </w:tc>
        <w:tc>
          <w:tcPr>
            <w:tcW w:type="dxa" w:w="720"/>
          </w:tcPr>
          <w:p>
            <w:r>
              <w:rPr>
                <w:sz w:val="18"/>
              </w:rPr>
              <w:t>327</w:t>
            </w:r>
          </w:p>
        </w:tc>
        <w:tc>
          <w:tcPr>
            <w:tcW w:type="dxa" w:w="1440"/>
          </w:tcPr>
          <w:p>
            <w:r>
              <w:rPr>
                <w:sz w:val="18"/>
              </w:rPr>
              <w:t>0.228</w:t>
            </w:r>
          </w:p>
        </w:tc>
        <w:tc>
          <w:tcPr>
            <w:tcW w:type="dxa" w:w="1440"/>
          </w:tcPr>
          <w:p>
            <w:r>
              <w:rPr>
                <w:sz w:val="18"/>
              </w:rPr>
              <w:t>-0.056</w:t>
            </w:r>
          </w:p>
        </w:tc>
        <w:tc>
          <w:tcPr>
            <w:tcW w:type="dxa" w:w="2160"/>
          </w:tcPr>
          <w:p>
            <w:r>
              <w:rPr>
                <w:sz w:val="18"/>
              </w:rPr>
              <w:t>+0.426</w:t>
            </w:r>
          </w:p>
        </w:tc>
      </w:tr>
    </w:tbl>
    <w:p/>
    <w:p>
      <w:pPr>
        <w:jc w:val="left"/>
      </w:pPr>
      <w:r>
        <w:rPr>
          <w:i/>
          <w:color w:val="52514E"/>
          <w:sz w:val="18"/>
        </w:rPr>
        <w:t>Table 3. Both nulls under both configurations.</w:t>
      </w:r>
    </w:p>
    <w:p>
      <w:r>
        <w:t>Against the NVIS-constrained null the gap improves from +0.064 to +0.084 - a gain of +0.020, against a headline gain in rho of +0.102. Four fifths of what Run 1 appears to buy is shared with its own null, which is to say it is the sample getting cleaner rather than the matching getting better. Against the unconstrained null the gap grows from +0.240 to +0.426, which is the other half of the picture: the method plainly has skill, and Run 1 increases it.</w:t>
      </w:r>
    </w:p>
    <w:p>
      <w:pPr>
        <w:jc w:val="center"/>
      </w:pPr>
      <w:r>
        <w:drawing>
          <wp:inline xmlns:a="http://schemas.openxmlformats.org/drawingml/2006/main" xmlns:pic="http://schemas.openxmlformats.org/drawingml/2006/picture">
            <wp:extent cx="5760720" cy="2964377"/>
            <wp:docPr id="3" name="Picture 3"/>
            <wp:cNvGraphicFramePr>
              <a:graphicFrameLocks noChangeAspect="1"/>
            </wp:cNvGraphicFramePr>
            <a:graphic>
              <a:graphicData uri="http://schemas.openxmlformats.org/drawingml/2006/picture">
                <pic:pic>
                  <pic:nvPicPr>
                    <pic:cNvPr id="0" name="fig_03_gap_to_nulls.png"/>
                    <pic:cNvPicPr/>
                  </pic:nvPicPr>
                  <pic:blipFill>
                    <a:blip r:embed="rId11"/>
                    <a:stretch>
                      <a:fillRect/>
                    </a:stretch>
                  </pic:blipFill>
                  <pic:spPr>
                    <a:xfrm>
                      <a:off x="0" y="0"/>
                      <a:ext cx="5760720" cy="2964377"/>
                    </a:xfrm>
                    <a:prstGeom prst="rect"/>
                  </pic:spPr>
                </pic:pic>
              </a:graphicData>
            </a:graphic>
          </wp:inline>
        </w:drawing>
      </w:r>
    </w:p>
    <w:p>
      <w:pPr>
        <w:jc w:val="left"/>
      </w:pPr>
      <w:r>
        <w:rPr>
          <w:i/>
          <w:color w:val="52514E"/>
          <w:sz w:val="18"/>
        </w:rPr>
        <w:t>Figure 3. What Run 1 buys once the null is allowed to move with the sample.</w:t>
      </w:r>
    </w:p>
    <w:p>
      <w:pPr>
        <w:pStyle w:val="Heading1"/>
      </w:pPr>
      <w:r>
        <w:t>What it cost</w:t>
      </w:r>
    </w:p>
    <w:p>
      <w:r>
        <w:t>The bootstrap interval on the median ratio widens from 0.163 to 0.270 across the eight windows, a 66 per cent loss of precision, and the two late-century high-forcing windows fall to 41 and 14 sites. That is the price of halving the sample and it is not small.</w:t>
      </w:r>
    </w:p>
    <w:p>
      <w:pPr>
        <w:pStyle w:val="Heading1"/>
      </w:pPr>
      <w:r>
        <w:t>What to conclude</w:t>
      </w:r>
    </w:p>
    <w:p>
      <w:pPr>
        <w:pStyle w:val="ListBullet"/>
      </w:pPr>
      <w:r>
        <w:t>The hypothesis is confirmed. The likely-mature half was dragging the headline numbers down, and removing it raises the ratio by +0.092 and the rank correlation by +0.102.</w:t>
      </w:r>
    </w:p>
    <w:p>
      <w:pPr>
        <w:pStyle w:val="ListBullet"/>
      </w:pPr>
      <w:r>
        <w:t>But the mechanism is plot size, not maturity. The likely-mature sites report 17.4 Mg of biomass per m2/ha of their own basal area from plots 40 per cent smaller. They are not less mature stands, they are more inflated per-hectare figures. The maturity threshold is acting as a proxy for a data-quality problem.</w:t>
      </w:r>
    </w:p>
    <w:p>
      <w:pPr>
        <w:pStyle w:val="ListBullet"/>
      </w:pPr>
      <w:r>
        <w:t>Which means the better fix is a plot-area floor, not a stem-size threshold. Filtering on maturity discards 273 sites to remove an inflation that a minimum plot area would remove directly, and without also discarding the genuinely mature stands that happen to sit in that group. That is worth running as its own one-change test.</w:t>
      </w:r>
    </w:p>
    <w:p>
      <w:pPr>
        <w:pStyle w:val="ListBullet"/>
      </w:pPr>
      <w:r>
        <w:t>Report Run 1 as a sensitivity, not as a replacement. Four fifths of the apparent gain is shared with its own null, the precision loss is 66 per cent, and the two late-century high-forcing windows become unusable at 41 and 14 sites.</w:t>
      </w:r>
    </w:p>
    <w:p>
      <w:pPr>
        <w:pStyle w:val="ListBullet"/>
      </w:pPr>
      <w:r>
        <w:t>Both nulls were necessary to reach that reading. Against the unconstrained null alone Run 1 looks like a large improvement; against the constrained null alone it looks like almost none. The truth needs both.</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Step_01_run_verified_only.py</w:t>
            </w:r>
          </w:p>
        </w:tc>
        <w:tc>
          <w:tcPr>
            <w:tcW w:type="dxa" w:w="5184"/>
          </w:tcPr>
          <w:p>
            <w:r>
              <w:rPr>
                <w:sz w:val="18"/>
              </w:rPr>
              <w:t>runs the parent's Step_03 with the one flag, protecting the parent</w:t>
            </w:r>
          </w:p>
        </w:tc>
      </w:tr>
      <w:tr>
        <w:tc>
          <w:tcPr>
            <w:tcW w:type="dxa" w:w="3456"/>
          </w:tcPr>
          <w:p>
            <w:r>
              <w:rPr>
                <w:sz w:val="18"/>
              </w:rPr>
              <w:t>Step_02_compare_vs_run0.py</w:t>
            </w:r>
          </w:p>
        </w:tc>
        <w:tc>
          <w:tcPr>
            <w:tcW w:type="dxa" w:w="5184"/>
          </w:tcPr>
          <w:p>
            <w:r>
              <w:rPr>
                <w:sz w:val="18"/>
              </w:rPr>
              <w:t>the diagnostic and the comparison</w:t>
            </w:r>
          </w:p>
        </w:tc>
      </w:tr>
      <w:tr>
        <w:tc>
          <w:tcPr>
            <w:tcW w:type="dxa" w:w="3456"/>
          </w:tcPr>
          <w:p>
            <w:r>
              <w:rPr>
                <w:sz w:val="18"/>
              </w:rPr>
              <w:t>Step_03_plots.py</w:t>
            </w:r>
          </w:p>
        </w:tc>
        <w:tc>
          <w:tcPr>
            <w:tcW w:type="dxa" w:w="5184"/>
          </w:tcPr>
          <w:p>
            <w:r>
              <w:rPr>
                <w:sz w:val="18"/>
              </w:rPr>
              <w:t>the figures</w:t>
            </w:r>
          </w:p>
        </w:tc>
      </w:tr>
      <w:tr>
        <w:tc>
          <w:tcPr>
            <w:tcW w:type="dxa" w:w="3456"/>
          </w:tcPr>
          <w:p>
            <w:r>
              <w:rPr>
                <w:sz w:val="18"/>
              </w:rPr>
              <w:t>Step_04_write_report.py</w:t>
            </w:r>
          </w:p>
        </w:tc>
        <w:tc>
          <w:tcPr>
            <w:tcW w:type="dxa" w:w="5184"/>
          </w:tcPr>
          <w:p>
            <w:r>
              <w:rPr>
                <w:sz w:val="18"/>
              </w:rPr>
              <w:t>this document</w:t>
            </w:r>
          </w:p>
        </w:tc>
      </w:tr>
      <w:tr>
        <w:tc>
          <w:tcPr>
            <w:tcW w:type="dxa" w:w="3456"/>
          </w:tcPr>
          <w:p>
            <w:r>
              <w:rPr>
                <w:sz w:val="18"/>
              </w:rPr>
              <w:t>outputs/gate_by_maturity.csv</w:t>
            </w:r>
          </w:p>
        </w:tc>
        <w:tc>
          <w:tcPr>
            <w:tcW w:type="dxa" w:w="5184"/>
          </w:tcPr>
          <w:p>
            <w:r>
              <w:rPr>
                <w:sz w:val="18"/>
              </w:rPr>
              <w:t>Table 1</w:t>
            </w:r>
          </w:p>
        </w:tc>
      </w:tr>
      <w:tr>
        <w:tc>
          <w:tcPr>
            <w:tcW w:type="dxa" w:w="3456"/>
          </w:tcPr>
          <w:p>
            <w:r>
              <w:rPr>
                <w:sz w:val="18"/>
              </w:rPr>
              <w:t>outputs/run01_vs_run00.csv</w:t>
            </w:r>
          </w:p>
        </w:tc>
        <w:tc>
          <w:tcPr>
            <w:tcW w:type="dxa" w:w="5184"/>
          </w:tcPr>
          <w:p>
            <w:r>
              <w:rPr>
                <w:sz w:val="18"/>
              </w:rPr>
              <w:t>Table 2</w:t>
            </w:r>
          </w:p>
        </w:tc>
      </w:tr>
      <w:tr>
        <w:tc>
          <w:tcPr>
            <w:tcW w:type="dxa" w:w="3456"/>
          </w:tcPr>
          <w:p>
            <w:r>
              <w:rPr>
                <w:sz w:val="18"/>
              </w:rPr>
              <w:t>outputs/both_nulls.csv</w:t>
            </w:r>
          </w:p>
        </w:tc>
        <w:tc>
          <w:tcPr>
            <w:tcW w:type="dxa" w:w="5184"/>
          </w:tcPr>
          <w:p>
            <w:r>
              <w:rPr>
                <w:sz w:val="18"/>
              </w:rPr>
              <w:t>Table 3</w:t>
            </w:r>
          </w:p>
        </w:tc>
      </w:tr>
      <w:tr>
        <w:tc>
          <w:tcPr>
            <w:tcW w:type="dxa" w:w="3456"/>
          </w:tcPr>
          <w:p>
            <w:r>
              <w:rPr>
                <w:sz w:val="18"/>
              </w:rPr>
              <w:t>outputs/matches_nvis.csv</w:t>
            </w:r>
          </w:p>
        </w:tc>
        <w:tc>
          <w:tcPr>
            <w:tcW w:type="dxa" w:w="5184"/>
          </w:tcPr>
          <w:p>
            <w:r>
              <w:rPr>
                <w:sz w:val="18"/>
              </w:rPr>
              <w:t>Run 1's site-level matches, and five companion tables from Step_03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