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 5 - the biomass-to-basal-area ceiling, on its own</w:t>
      </w:r>
    </w:p>
    <w:p>
      <w:r>
        <w:rPr>
          <w:color w:val="52514E"/>
          <w:sz w:val="18"/>
        </w:rPr>
        <w:t>Space_time_validation/New_proposal/Run_05_ceiling · generated 2026-09-23 · the test combined_Run said was missing</w:t>
      </w:r>
    </w:p>
    <w:p>
      <w:pPr>
        <w:pStyle w:val="Heading1"/>
      </w:pPr>
      <w:r>
        <w:t>Why</w:t>
      </w:r>
    </w:p>
    <w:p>
      <w:r>
        <w:t>combined_Run introduced a ceiling on the ratio of observed biomass to the stand's own live basal area, and flagged that it had never been tested against Run 0 in isolation. It was also the ingredient that did not do what it was asked to do: it was proposed to remove University of NSW at about 106 and Queensland Herbarium at 35.6, but those are REPORTED ratios and the rebuild had already repaired them. This run supplies the missing test.</w:t>
      </w:r>
    </w:p>
    <w:p>
      <w:pPr>
        <w:pStyle w:val="IntenseQuote"/>
      </w:pPr>
      <w:r>
        <w:t>The ceiling is not circular, which is the first thing to establish. It is computed from biomass and basal area, both reported in the site table, and M' appears nowhere in it. It removes records on a criterion internal to the observation, so any improvement it produces is not the result of discarding whatever disagrees with M'.</w:t>
      </w:r>
    </w:p>
    <w:p>
      <w:pPr>
        <w:pStyle w:val="Heading1"/>
      </w:pPr>
      <w:r>
        <w:t>The calibration does not transfer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304"/>
          </w:tcPr>
          <w:p>
            <w:r>
              <w:rPr>
                <w:b/>
                <w:sz w:val="18"/>
              </w:rPr>
              <w:t>base</w:t>
            </w:r>
          </w:p>
        </w:tc>
        <w:tc>
          <w:tcPr>
            <w:tcW w:type="dxa" w:w="1440"/>
          </w:tcPr>
          <w:p>
            <w:r>
              <w:rPr>
                <w:b/>
                <w:sz w:val="18"/>
              </w:rPr>
              <w:t>verified sites</w:t>
            </w:r>
          </w:p>
        </w:tc>
        <w:tc>
          <w:tcPr>
            <w:tcW w:type="dxa" w:w="1584"/>
          </w:tcPr>
          <w:p>
            <w:r>
              <w:rPr>
                <w:b/>
                <w:sz w:val="18"/>
              </w:rPr>
              <w:t>median ratio</w:t>
            </w:r>
          </w:p>
        </w:tc>
        <w:tc>
          <w:tcPr>
            <w:tcW w:type="dxa" w:w="1152"/>
          </w:tcPr>
          <w:p>
            <w:r>
              <w:rPr>
                <w:b/>
                <w:sz w:val="18"/>
              </w:rPr>
              <w:t>p90</w:t>
            </w:r>
          </w:p>
        </w:tc>
        <w:tc>
          <w:tcPr>
            <w:tcW w:type="dxa" w:w="1152"/>
          </w:tcPr>
          <w:p>
            <w:r>
              <w:rPr>
                <w:b/>
                <w:sz w:val="18"/>
              </w:rPr>
              <w:t>p95</w:t>
            </w:r>
          </w:p>
        </w:tc>
        <w:tc>
          <w:tcPr>
            <w:tcW w:type="dxa" w:w="1152"/>
          </w:tcPr>
          <w:p>
            <w:r>
              <w:rPr>
                <w:b/>
                <w:sz w:val="18"/>
              </w:rPr>
              <w:t>p99</w:t>
            </w:r>
          </w:p>
        </w:tc>
      </w:tr>
      <w:tr>
        <w:tc>
          <w:tcPr>
            <w:tcW w:type="dxa" w:w="2304"/>
          </w:tcPr>
          <w:p>
            <w:r>
              <w:rPr>
                <w:sz w:val="18"/>
              </w:rPr>
              <w:t>reported (Run 0)</w:t>
            </w:r>
          </w:p>
        </w:tc>
        <w:tc>
          <w:tcPr>
            <w:tcW w:type="dxa" w:w="1440"/>
          </w:tcPr>
          <w:p>
            <w:r>
              <w:rPr>
                <w:sz w:val="18"/>
              </w:rPr>
              <w:t>327</w:t>
            </w:r>
          </w:p>
        </w:tc>
        <w:tc>
          <w:tcPr>
            <w:tcW w:type="dxa" w:w="1584"/>
          </w:tcPr>
          <w:p>
            <w:r>
              <w:rPr>
                <w:sz w:val="18"/>
              </w:rPr>
              <w:t>7.27</w:t>
            </w:r>
          </w:p>
        </w:tc>
        <w:tc>
          <w:tcPr>
            <w:tcW w:type="dxa" w:w="1152"/>
          </w:tcPr>
          <w:p>
            <w:r>
              <w:rPr>
                <w:sz w:val="18"/>
              </w:rPr>
              <w:t>37.3</w:t>
            </w:r>
          </w:p>
        </w:tc>
        <w:tc>
          <w:tcPr>
            <w:tcW w:type="dxa" w:w="1152"/>
          </w:tcPr>
          <w:p>
            <w:r>
              <w:rPr>
                <w:sz w:val="18"/>
              </w:rPr>
              <w:t>52.0</w:t>
            </w:r>
          </w:p>
        </w:tc>
        <w:tc>
          <w:tcPr>
            <w:tcW w:type="dxa" w:w="1152"/>
          </w:tcPr>
          <w:p>
            <w:r>
              <w:rPr>
                <w:sz w:val="18"/>
              </w:rPr>
              <w:t>88.3</w:t>
            </w:r>
          </w:p>
        </w:tc>
      </w:tr>
      <w:tr>
        <w:tc>
          <w:tcPr>
            <w:tcW w:type="dxa" w:w="2304"/>
          </w:tcPr>
          <w:p>
            <w:r>
              <w:rPr>
                <w:sz w:val="18"/>
              </w:rPr>
              <w:t>rebuilt (Run 3)</w:t>
            </w:r>
          </w:p>
        </w:tc>
        <w:tc>
          <w:tcPr>
            <w:tcW w:type="dxa" w:w="1440"/>
          </w:tcPr>
          <w:p>
            <w:r>
              <w:rPr>
                <w:sz w:val="18"/>
              </w:rPr>
              <w:t>327</w:t>
            </w:r>
          </w:p>
        </w:tc>
        <w:tc>
          <w:tcPr>
            <w:tcW w:type="dxa" w:w="1584"/>
          </w:tcPr>
          <w:p>
            <w:r>
              <w:rPr>
                <w:sz w:val="18"/>
              </w:rPr>
              <w:t>16.79</w:t>
            </w:r>
          </w:p>
        </w:tc>
        <w:tc>
          <w:tcPr>
            <w:tcW w:type="dxa" w:w="1152"/>
          </w:tcPr>
          <w:p>
            <w:r>
              <w:rPr>
                <w:sz w:val="18"/>
              </w:rPr>
              <w:t>24.9</w:t>
            </w:r>
          </w:p>
        </w:tc>
        <w:tc>
          <w:tcPr>
            <w:tcW w:type="dxa" w:w="1152"/>
          </w:tcPr>
          <w:p>
            <w:r>
              <w:rPr>
                <w:sz w:val="18"/>
              </w:rPr>
              <w:t>27.5</w:t>
            </w:r>
          </w:p>
        </w:tc>
        <w:tc>
          <w:tcPr>
            <w:tcW w:type="dxa" w:w="1152"/>
          </w:tcPr>
          <w:p>
            <w:r>
              <w:rPr>
                <w:sz w:val="18"/>
              </w:rPr>
              <w:t>31.3</w:t>
            </w:r>
          </w:p>
        </w:tc>
      </w:tr>
    </w:tbl>
    <w:p/>
    <w:p>
      <w:r>
        <w:rPr>
          <w:i/>
          <w:color w:val="52514E"/>
          <w:sz w:val="18"/>
        </w:rPr>
        <w:t>Table 1. The verified-mature group's ratio on each base.</w:t>
      </w:r>
    </w:p>
    <w:p>
      <w:r>
        <w:t>The same percentile of the same group is 52.0 on reported biomass and 27.5 on Run 3's rebuild, because the rebuild changes the whole distribution. combined_Run's 34.5 is a third value again, from its own wider base. So the ceiling must be recalibrated wherever it is applied, and it is the PERCENTILE that is the parameter, not the number. Applying combined_Run's 34.5 to Run 0 would have been testing two changes at once.</w:t>
      </w:r>
    </w:p>
    <w:p>
      <w:pPr>
        <w:pStyle w:val="Heading1"/>
      </w:pPr>
      <w:r>
        <w:t>The result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736"/>
          </w:tcPr>
          <w:p>
            <w:r>
              <w:rPr>
                <w:b/>
                <w:sz w:val="18"/>
              </w:rPr>
              <w:t>configuration</w:t>
            </w:r>
          </w:p>
        </w:tc>
        <w:tc>
          <w:tcPr>
            <w:tcW w:type="dxa" w:w="864"/>
          </w:tcPr>
          <w:p>
            <w:r>
              <w:rPr>
                <w:b/>
                <w:sz w:val="18"/>
              </w:rPr>
              <w:t>sites</w:t>
            </w:r>
          </w:p>
        </w:tc>
        <w:tc>
          <w:tcPr>
            <w:tcW w:type="dxa" w:w="1008"/>
          </w:tcPr>
          <w:p>
            <w:r>
              <w:rPr>
                <w:b/>
                <w:sz w:val="18"/>
              </w:rPr>
              <w:t>ceiling</w:t>
            </w:r>
          </w:p>
        </w:tc>
        <w:tc>
          <w:tcPr>
            <w:tcW w:type="dxa" w:w="1296"/>
          </w:tcPr>
          <w:p>
            <w:r>
              <w:rPr>
                <w:b/>
                <w:sz w:val="18"/>
              </w:rPr>
              <w:t>median AGB</w:t>
            </w:r>
          </w:p>
        </w:tc>
        <w:tc>
          <w:tcPr>
            <w:tcW w:type="dxa" w:w="1152"/>
          </w:tcPr>
          <w:p>
            <w:r>
              <w:rPr>
                <w:b/>
                <w:sz w:val="18"/>
              </w:rPr>
              <w:t>gate rho</w:t>
            </w:r>
          </w:p>
        </w:tc>
        <w:tc>
          <w:tcPr>
            <w:tcW w:type="dxa" w:w="1152"/>
          </w:tcPr>
          <w:p>
            <w:r>
              <w:rPr>
                <w:b/>
                <w:sz w:val="18"/>
              </w:rPr>
              <w:t>future rho</w:t>
            </w:r>
          </w:p>
        </w:tc>
        <w:tc>
          <w:tcPr>
            <w:tcW w:type="dxa" w:w="1008"/>
          </w:tcPr>
          <w:p>
            <w:r>
              <w:rPr>
                <w:b/>
                <w:sz w:val="18"/>
              </w:rPr>
              <w:t>null rho</w:t>
            </w:r>
          </w:p>
        </w:tc>
        <w:tc>
          <w:tcPr>
            <w:tcW w:type="dxa" w:w="1008"/>
          </w:tcPr>
          <w:p>
            <w:r>
              <w:rPr>
                <w:b/>
                <w:sz w:val="18"/>
              </w:rPr>
              <w:t>gap</w:t>
            </w:r>
          </w:p>
        </w:tc>
      </w:tr>
      <w:tr>
        <w:tc>
          <w:tcPr>
            <w:tcW w:type="dxa" w:w="2736"/>
          </w:tcPr>
          <w:p>
            <w:r>
              <w:rPr>
                <w:sz w:val="18"/>
              </w:rPr>
              <w:t>Run 0 as published</w:t>
            </w:r>
          </w:p>
        </w:tc>
        <w:tc>
          <w:tcPr>
            <w:tcW w:type="dxa" w:w="864"/>
          </w:tcPr>
          <w:p>
            <w:r>
              <w:rPr>
                <w:sz w:val="18"/>
              </w:rPr>
              <w:t>600</w:t>
            </w:r>
          </w:p>
        </w:tc>
        <w:tc>
          <w:tcPr>
            <w:tcW w:type="dxa" w:w="1008"/>
          </w:tcPr>
          <w:p>
            <w:r>
              <w:rPr>
                <w:sz w:val="18"/>
              </w:rPr>
              <w:t>n/a</w:t>
            </w:r>
          </w:p>
        </w:tc>
        <w:tc>
          <w:tcPr>
            <w:tcW w:type="dxa" w:w="1296"/>
          </w:tcPr>
          <w:p>
            <w:r>
              <w:rPr>
                <w:sz w:val="18"/>
              </w:rPr>
              <w:t>112.4</w:t>
            </w:r>
          </w:p>
        </w:tc>
        <w:tc>
          <w:tcPr>
            <w:tcW w:type="dxa" w:w="1152"/>
          </w:tcPr>
          <w:p>
            <w:r>
              <w:rPr>
                <w:sz w:val="18"/>
              </w:rPr>
              <w:t>0.418</w:t>
            </w:r>
          </w:p>
        </w:tc>
        <w:tc>
          <w:tcPr>
            <w:tcW w:type="dxa" w:w="1152"/>
          </w:tcPr>
          <w:p>
            <w:r>
              <w:rPr>
                <w:sz w:val="18"/>
              </w:rPr>
              <w:t>0.269</w:t>
            </w:r>
          </w:p>
        </w:tc>
        <w:tc>
          <w:tcPr>
            <w:tcW w:type="dxa" w:w="1008"/>
          </w:tcPr>
          <w:p>
            <w:r>
              <w:rPr>
                <w:sz w:val="18"/>
              </w:rPr>
              <w:t>0.205</w:t>
            </w:r>
          </w:p>
        </w:tc>
        <w:tc>
          <w:tcPr>
            <w:tcW w:type="dxa" w:w="1008"/>
          </w:tcPr>
          <w:p>
            <w:r>
              <w:rPr>
                <w:sz w:val="18"/>
              </w:rPr>
              <w:t>+0.064</w:t>
            </w:r>
          </w:p>
        </w:tc>
      </w:tr>
      <w:tr>
        <w:tc>
          <w:tcPr>
            <w:tcW w:type="dxa" w:w="2736"/>
          </w:tcPr>
          <w:p>
            <w:r>
              <w:rPr>
                <w:sz w:val="18"/>
              </w:rPr>
              <w:t>+ ceiling at the verified p99</w:t>
            </w:r>
          </w:p>
        </w:tc>
        <w:tc>
          <w:tcPr>
            <w:tcW w:type="dxa" w:w="864"/>
          </w:tcPr>
          <w:p>
            <w:r>
              <w:rPr>
                <w:sz w:val="18"/>
              </w:rPr>
              <w:t>585</w:t>
            </w:r>
          </w:p>
        </w:tc>
        <w:tc>
          <w:tcPr>
            <w:tcW w:type="dxa" w:w="1008"/>
          </w:tcPr>
          <w:p>
            <w:r>
              <w:rPr>
                <w:sz w:val="18"/>
              </w:rPr>
              <w:t>88.3</w:t>
            </w:r>
          </w:p>
        </w:tc>
        <w:tc>
          <w:tcPr>
            <w:tcW w:type="dxa" w:w="1296"/>
          </w:tcPr>
          <w:p>
            <w:r>
              <w:rPr>
                <w:sz w:val="18"/>
              </w:rPr>
              <w:t>105.0</w:t>
            </w:r>
          </w:p>
        </w:tc>
        <w:tc>
          <w:tcPr>
            <w:tcW w:type="dxa" w:w="1152"/>
          </w:tcPr>
          <w:p>
            <w:r>
              <w:rPr>
                <w:sz w:val="18"/>
              </w:rPr>
              <w:t>0.442</w:t>
            </w:r>
          </w:p>
        </w:tc>
        <w:tc>
          <w:tcPr>
            <w:tcW w:type="dxa" w:w="1152"/>
          </w:tcPr>
          <w:p>
            <w:r>
              <w:rPr>
                <w:sz w:val="18"/>
              </w:rPr>
              <w:t>0.277</w:t>
            </w:r>
          </w:p>
        </w:tc>
        <w:tc>
          <w:tcPr>
            <w:tcW w:type="dxa" w:w="1008"/>
          </w:tcPr>
          <w:p>
            <w:r>
              <w:rPr>
                <w:sz w:val="18"/>
              </w:rPr>
              <w:t>0.209</w:t>
            </w:r>
          </w:p>
        </w:tc>
        <w:tc>
          <w:tcPr>
            <w:tcW w:type="dxa" w:w="1008"/>
          </w:tcPr>
          <w:p>
            <w:r>
              <w:rPr>
                <w:sz w:val="18"/>
              </w:rPr>
              <w:t>+0.068</w:t>
            </w:r>
          </w:p>
        </w:tc>
      </w:tr>
      <w:tr>
        <w:tc>
          <w:tcPr>
            <w:tcW w:type="dxa" w:w="2736"/>
          </w:tcPr>
          <w:p>
            <w:r>
              <w:rPr>
                <w:sz w:val="18"/>
              </w:rPr>
              <w:t>+ ceiling at the verified p95</w:t>
            </w:r>
          </w:p>
        </w:tc>
        <w:tc>
          <w:tcPr>
            <w:tcW w:type="dxa" w:w="864"/>
          </w:tcPr>
          <w:p>
            <w:r>
              <w:rPr>
                <w:sz w:val="18"/>
              </w:rPr>
              <w:t>542</w:t>
            </w:r>
          </w:p>
        </w:tc>
        <w:tc>
          <w:tcPr>
            <w:tcW w:type="dxa" w:w="1008"/>
          </w:tcPr>
          <w:p>
            <w:r>
              <w:rPr>
                <w:sz w:val="18"/>
              </w:rPr>
              <w:t>52.0</w:t>
            </w:r>
          </w:p>
        </w:tc>
        <w:tc>
          <w:tcPr>
            <w:tcW w:type="dxa" w:w="1296"/>
          </w:tcPr>
          <w:p>
            <w:r>
              <w:rPr>
                <w:sz w:val="18"/>
              </w:rPr>
              <w:t>93.1</w:t>
            </w:r>
          </w:p>
        </w:tc>
        <w:tc>
          <w:tcPr>
            <w:tcW w:type="dxa" w:w="1152"/>
          </w:tcPr>
          <w:p>
            <w:r>
              <w:rPr>
                <w:sz w:val="18"/>
              </w:rPr>
              <w:t>0.492</w:t>
            </w:r>
          </w:p>
        </w:tc>
        <w:tc>
          <w:tcPr>
            <w:tcW w:type="dxa" w:w="1152"/>
          </w:tcPr>
          <w:p>
            <w:r>
              <w:rPr>
                <w:sz w:val="18"/>
              </w:rPr>
              <w:t>0.321</w:t>
            </w:r>
          </w:p>
        </w:tc>
        <w:tc>
          <w:tcPr>
            <w:tcW w:type="dxa" w:w="1008"/>
          </w:tcPr>
          <w:p>
            <w:r>
              <w:rPr>
                <w:sz w:val="18"/>
              </w:rPr>
              <w:t>0.248</w:t>
            </w:r>
          </w:p>
        </w:tc>
        <w:tc>
          <w:tcPr>
            <w:tcW w:type="dxa" w:w="1008"/>
          </w:tcPr>
          <w:p>
            <w:r>
              <w:rPr>
                <w:sz w:val="18"/>
              </w:rPr>
              <w:t>+0.073</w:t>
            </w:r>
          </w:p>
        </w:tc>
      </w:tr>
      <w:tr>
        <w:tc>
          <w:tcPr>
            <w:tcW w:type="dxa" w:w="2736"/>
          </w:tcPr>
          <w:p>
            <w:r>
              <w:rPr>
                <w:sz w:val="18"/>
              </w:rPr>
              <w:t>+ ceiling at the verified p90</w:t>
            </w:r>
          </w:p>
        </w:tc>
        <w:tc>
          <w:tcPr>
            <w:tcW w:type="dxa" w:w="864"/>
          </w:tcPr>
          <w:p>
            <w:r>
              <w:rPr>
                <w:sz w:val="18"/>
              </w:rPr>
              <w:t>496</w:t>
            </w:r>
          </w:p>
        </w:tc>
        <w:tc>
          <w:tcPr>
            <w:tcW w:type="dxa" w:w="1008"/>
          </w:tcPr>
          <w:p>
            <w:r>
              <w:rPr>
                <w:sz w:val="18"/>
              </w:rPr>
              <w:t>37.3</w:t>
            </w:r>
          </w:p>
        </w:tc>
        <w:tc>
          <w:tcPr>
            <w:tcW w:type="dxa" w:w="1296"/>
          </w:tcPr>
          <w:p>
            <w:r>
              <w:rPr>
                <w:sz w:val="18"/>
              </w:rPr>
              <w:t>80.2</w:t>
            </w:r>
          </w:p>
        </w:tc>
        <w:tc>
          <w:tcPr>
            <w:tcW w:type="dxa" w:w="1152"/>
          </w:tcPr>
          <w:p>
            <w:r>
              <w:rPr>
                <w:sz w:val="18"/>
              </w:rPr>
              <w:t>0.518</w:t>
            </w:r>
          </w:p>
        </w:tc>
        <w:tc>
          <w:tcPr>
            <w:tcW w:type="dxa" w:w="1152"/>
          </w:tcPr>
          <w:p>
            <w:r>
              <w:rPr>
                <w:sz w:val="18"/>
              </w:rPr>
              <w:t>0.371</w:t>
            </w:r>
          </w:p>
        </w:tc>
        <w:tc>
          <w:tcPr>
            <w:tcW w:type="dxa" w:w="1008"/>
          </w:tcPr>
          <w:p>
            <w:r>
              <w:rPr>
                <w:sz w:val="18"/>
              </w:rPr>
              <w:t>0.264</w:t>
            </w:r>
          </w:p>
        </w:tc>
        <w:tc>
          <w:tcPr>
            <w:tcW w:type="dxa" w:w="1008"/>
          </w:tcPr>
          <w:p>
            <w:r>
              <w:rPr>
                <w:sz w:val="18"/>
              </w:rPr>
              <w:t>+0.107</w:t>
            </w:r>
          </w:p>
        </w:tc>
      </w:tr>
      <w:tr>
        <w:tc>
          <w:tcPr>
            <w:tcW w:type="dxa" w:w="2736"/>
          </w:tcPr>
          <w:p>
            <w:r>
              <w:rPr>
                <w:sz w:val="18"/>
              </w:rPr>
              <w:t>Run 3's rebuild, no ceiling</w:t>
            </w:r>
          </w:p>
        </w:tc>
        <w:tc>
          <w:tcPr>
            <w:tcW w:type="dxa" w:w="864"/>
          </w:tcPr>
          <w:p>
            <w:r>
              <w:rPr>
                <w:sz w:val="18"/>
              </w:rPr>
              <w:t>599</w:t>
            </w:r>
          </w:p>
        </w:tc>
        <w:tc>
          <w:tcPr>
            <w:tcW w:type="dxa" w:w="1008"/>
          </w:tcPr>
          <w:p>
            <w:r>
              <w:rPr>
                <w:sz w:val="18"/>
              </w:rPr>
              <w:t>n/a</w:t>
            </w:r>
          </w:p>
        </w:tc>
        <w:tc>
          <w:tcPr>
            <w:tcW w:type="dxa" w:w="1296"/>
          </w:tcPr>
          <w:p>
            <w:r>
              <w:rPr>
                <w:sz w:val="18"/>
              </w:rPr>
              <w:t>124.3</w:t>
            </w:r>
          </w:p>
        </w:tc>
        <w:tc>
          <w:tcPr>
            <w:tcW w:type="dxa" w:w="1152"/>
          </w:tcPr>
          <w:p>
            <w:r>
              <w:rPr>
                <w:sz w:val="18"/>
              </w:rPr>
              <w:t>0.732</w:t>
            </w:r>
          </w:p>
        </w:tc>
        <w:tc>
          <w:tcPr>
            <w:tcW w:type="dxa" w:w="1152"/>
          </w:tcPr>
          <w:p>
            <w:r>
              <w:rPr>
                <w:sz w:val="18"/>
              </w:rPr>
              <w:t>0.390</w:t>
            </w:r>
          </w:p>
        </w:tc>
        <w:tc>
          <w:tcPr>
            <w:tcW w:type="dxa" w:w="1008"/>
          </w:tcPr>
          <w:p>
            <w:r>
              <w:rPr>
                <w:sz w:val="18"/>
              </w:rPr>
              <w:t>0.292</w:t>
            </w:r>
          </w:p>
        </w:tc>
        <w:tc>
          <w:tcPr>
            <w:tcW w:type="dxa" w:w="1008"/>
          </w:tcPr>
          <w:p>
            <w:r>
              <w:rPr>
                <w:sz w:val="18"/>
              </w:rPr>
              <w:t>+0.098</w:t>
            </w:r>
          </w:p>
        </w:tc>
      </w:tr>
      <w:tr>
        <w:tc>
          <w:tcPr>
            <w:tcW w:type="dxa" w:w="2736"/>
          </w:tcPr>
          <w:p>
            <w:r>
              <w:rPr>
                <w:sz w:val="18"/>
              </w:rPr>
              <w:t>rebuild + ceiling at p95</w:t>
            </w:r>
          </w:p>
        </w:tc>
        <w:tc>
          <w:tcPr>
            <w:tcW w:type="dxa" w:w="864"/>
          </w:tcPr>
          <w:p>
            <w:r>
              <w:rPr>
                <w:sz w:val="18"/>
              </w:rPr>
              <w:t>580</w:t>
            </w:r>
          </w:p>
        </w:tc>
        <w:tc>
          <w:tcPr>
            <w:tcW w:type="dxa" w:w="1008"/>
          </w:tcPr>
          <w:p>
            <w:r>
              <w:rPr>
                <w:sz w:val="18"/>
              </w:rPr>
              <w:t>27.5</w:t>
            </w:r>
          </w:p>
        </w:tc>
        <w:tc>
          <w:tcPr>
            <w:tcW w:type="dxa" w:w="1296"/>
          </w:tcPr>
          <w:p>
            <w:r>
              <w:rPr>
                <w:sz w:val="18"/>
              </w:rPr>
              <w:t>123.9</w:t>
            </w:r>
          </w:p>
        </w:tc>
        <w:tc>
          <w:tcPr>
            <w:tcW w:type="dxa" w:w="1152"/>
          </w:tcPr>
          <w:p>
            <w:r>
              <w:rPr>
                <w:sz w:val="18"/>
              </w:rPr>
              <w:t>0.718</w:t>
            </w:r>
          </w:p>
        </w:tc>
        <w:tc>
          <w:tcPr>
            <w:tcW w:type="dxa" w:w="1152"/>
          </w:tcPr>
          <w:p>
            <w:r>
              <w:rPr>
                <w:sz w:val="18"/>
              </w:rPr>
              <w:t>0.376</w:t>
            </w:r>
          </w:p>
        </w:tc>
        <w:tc>
          <w:tcPr>
            <w:tcW w:type="dxa" w:w="1008"/>
          </w:tcPr>
          <w:p>
            <w:r>
              <w:rPr>
                <w:sz w:val="18"/>
              </w:rPr>
              <w:t>0.248</w:t>
            </w:r>
          </w:p>
        </w:tc>
        <w:tc>
          <w:tcPr>
            <w:tcW w:type="dxa" w:w="1008"/>
          </w:tcPr>
          <w:p>
            <w:r>
              <w:rPr>
                <w:sz w:val="18"/>
              </w:rPr>
              <w:t>+0.128</w:t>
            </w:r>
          </w:p>
        </w:tc>
      </w:tr>
    </w:tbl>
    <w:p/>
    <w:p>
      <w:r>
        <w:rPr>
          <w:i/>
          <w:color w:val="52514E"/>
          <w:sz w:val="18"/>
        </w:rPr>
        <w:t>Table 2. Analogue-found sites only.</w:t>
      </w:r>
    </w:p>
    <w:p>
      <w:pPr>
        <w:pStyle w:val="IntenseQuote"/>
      </w:pPr>
      <w:r>
        <w:t>The ceiling earns its place on its own. Against Run 0 it raises the present-day gate from 0.418 to 0.518 and the gap to the constrained null from +0.064 to +0.107, and it does so MONOTONICALLY - the tighter the ceiling, the larger the gain, through p99, p95 and p90. A filter that improved the result at one arbitrary threshold and not at others would be suspect; this one behaves like a filter removing a real contaminant.</w:t>
      </w:r>
    </w:p>
    <w:p>
      <w:pPr>
        <w:jc w:val="center"/>
      </w:pPr>
      <w:r>
        <w:drawing>
          <wp:inline xmlns:a="http://schemas.openxmlformats.org/drawingml/2006/main" xmlns:pic="http://schemas.openxmlformats.org/drawingml/2006/picture">
            <wp:extent cx="5394960" cy="4381232"/>
            <wp:docPr id="1" name="Picture 1"/>
            <wp:cNvGraphicFramePr>
              <a:graphicFrameLocks noChangeAspect="1"/>
            </wp:cNvGraphicFramePr>
            <a:graphic>
              <a:graphicData uri="http://schemas.openxmlformats.org/drawingml/2006/picture">
                <pic:pic>
                  <pic:nvPicPr>
                    <pic:cNvPr id="0" name="fig_01_ceiling_result.png"/>
                    <pic:cNvPicPr/>
                  </pic:nvPicPr>
                  <pic:blipFill>
                    <a:blip r:embed="rId9"/>
                    <a:stretch>
                      <a:fillRect/>
                    </a:stretch>
                  </pic:blipFill>
                  <pic:spPr>
                    <a:xfrm>
                      <a:off x="0" y="0"/>
                      <a:ext cx="5394960" cy="4381232"/>
                    </a:xfrm>
                    <a:prstGeom prst="rect"/>
                  </pic:spPr>
                </pic:pic>
              </a:graphicData>
            </a:graphic>
          </wp:inline>
        </w:drawing>
      </w:r>
    </w:p>
    <w:p>
      <w:r>
        <w:rPr>
          <w:i/>
          <w:color w:val="52514E"/>
          <w:sz w:val="18"/>
        </w:rPr>
        <w:t>Figure 1. The ceiling on both bases. Dashed lines are each base without a ceiling.</w:t>
      </w:r>
    </w:p>
    <w:p>
      <w:r>
        <w:t>On the rebuilt base it behaves differently and combined_Run read it correctly: the gap rises from +0.098 to +0.128 while the gate falls slightly, 0.732 to 0.718. The ceiling buys gap rather than gate there, because it lowers the null more than it lowers the runs. Both bases agree that it is worth applying; they disagree about which statistic it improves.</w:t>
      </w:r>
    </w:p>
    <w:p>
      <w:pPr>
        <w:pStyle w:val="Heading1"/>
      </w:pPr>
      <w:r>
        <w:t>What it costs, and what it removes</w:t>
      </w:r>
    </w:p>
    <w:p>
      <w:r>
        <w:t>The tightest ceiling keeps 496 of 600 sites and lowers the median observed biomass from 112.4 to 80.2 Mg/ha. It is removing high-biomass records, and the question is whether they are real.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3168"/>
          </w:tcPr>
          <w:p>
            <w:r>
              <w:rPr>
                <w:b/>
                <w:sz w:val="18"/>
              </w:rPr>
              <w:t>provider</w:t>
            </w:r>
          </w:p>
        </w:tc>
        <w:tc>
          <w:tcPr>
            <w:tcW w:type="dxa" w:w="1440"/>
          </w:tcPr>
          <w:p>
            <w:r>
              <w:rPr>
                <w:b/>
                <w:sz w:val="18"/>
              </w:rPr>
              <w:t>sites removed</w:t>
            </w:r>
          </w:p>
        </w:tc>
        <w:tc>
          <w:tcPr>
            <w:tcW w:type="dxa" w:w="1440"/>
          </w:tcPr>
          <w:p>
            <w:r>
              <w:rPr>
                <w:b/>
                <w:sz w:val="18"/>
              </w:rPr>
              <w:t>median ratio</w:t>
            </w:r>
          </w:p>
        </w:tc>
        <w:tc>
          <w:tcPr>
            <w:tcW w:type="dxa" w:w="1440"/>
          </w:tcPr>
          <w:p>
            <w:r>
              <w:rPr>
                <w:b/>
                <w:sz w:val="18"/>
              </w:rPr>
              <w:t>median AGB</w:t>
            </w:r>
          </w:p>
        </w:tc>
        <w:tc>
          <w:tcPr>
            <w:tcW w:type="dxa" w:w="1584"/>
          </w:tcPr>
          <w:p>
            <w:r>
              <w:rPr>
                <w:b/>
                <w:sz w:val="18"/>
              </w:rPr>
              <w:t>median plot (ha)</w:t>
            </w:r>
          </w:p>
        </w:tc>
      </w:tr>
      <w:tr>
        <w:tc>
          <w:tcPr>
            <w:tcW w:type="dxa" w:w="3168"/>
          </w:tcPr>
          <w:p>
            <w:r>
              <w:rPr>
                <w:sz w:val="18"/>
              </w:rPr>
              <w:t>DSITI Queensland Herbarium</w:t>
            </w:r>
          </w:p>
        </w:tc>
        <w:tc>
          <w:tcPr>
            <w:tcW w:type="dxa" w:w="1440"/>
          </w:tcPr>
          <w:p>
            <w:r>
              <w:rPr>
                <w:sz w:val="18"/>
              </w:rPr>
              <w:t>68</w:t>
            </w:r>
          </w:p>
        </w:tc>
        <w:tc>
          <w:tcPr>
            <w:tcW w:type="dxa" w:w="1440"/>
          </w:tcPr>
          <w:p>
            <w:r>
              <w:rPr>
                <w:sz w:val="18"/>
              </w:rPr>
              <w:t>55.5</w:t>
            </w:r>
          </w:p>
        </w:tc>
        <w:tc>
          <w:tcPr>
            <w:tcW w:type="dxa" w:w="1440"/>
          </w:tcPr>
          <w:p>
            <w:r>
              <w:rPr>
                <w:sz w:val="18"/>
              </w:rPr>
              <w:t>415</w:t>
            </w:r>
          </w:p>
        </w:tc>
        <w:tc>
          <w:tcPr>
            <w:tcW w:type="dxa" w:w="1584"/>
          </w:tcPr>
          <w:p>
            <w:r>
              <w:rPr>
                <w:sz w:val="18"/>
              </w:rPr>
              <w:t>0.24</w:t>
            </w:r>
          </w:p>
        </w:tc>
      </w:tr>
      <w:tr>
        <w:tc>
          <w:tcPr>
            <w:tcW w:type="dxa" w:w="3168"/>
          </w:tcPr>
          <w:p>
            <w:r>
              <w:rPr>
                <w:sz w:val="18"/>
              </w:rPr>
              <w:t>Western Regeneration Pty. Ltd.</w:t>
            </w:r>
          </w:p>
        </w:tc>
        <w:tc>
          <w:tcPr>
            <w:tcW w:type="dxa" w:w="1440"/>
          </w:tcPr>
          <w:p>
            <w:r>
              <w:rPr>
                <w:sz w:val="18"/>
              </w:rPr>
              <w:t>26</w:t>
            </w:r>
          </w:p>
        </w:tc>
        <w:tc>
          <w:tcPr>
            <w:tcW w:type="dxa" w:w="1440"/>
          </w:tcPr>
          <w:p>
            <w:r>
              <w:rPr>
                <w:sz w:val="18"/>
              </w:rPr>
              <w:t>54.5</w:t>
            </w:r>
          </w:p>
        </w:tc>
        <w:tc>
          <w:tcPr>
            <w:tcW w:type="dxa" w:w="1440"/>
          </w:tcPr>
          <w:p>
            <w:r>
              <w:rPr>
                <w:sz w:val="18"/>
              </w:rPr>
              <w:t>634</w:t>
            </w:r>
          </w:p>
        </w:tc>
        <w:tc>
          <w:tcPr>
            <w:tcW w:type="dxa" w:w="1584"/>
          </w:tcPr>
          <w:p>
            <w:r>
              <w:rPr>
                <w:sz w:val="18"/>
              </w:rPr>
              <w:t>0.10</w:t>
            </w:r>
          </w:p>
        </w:tc>
      </w:tr>
      <w:tr>
        <w:tc>
          <w:tcPr>
            <w:tcW w:type="dxa" w:w="3168"/>
          </w:tcPr>
          <w:p>
            <w:r>
              <w:rPr>
                <w:sz w:val="18"/>
              </w:rPr>
              <w:t>UQ Joint Remote Sensing Research Pro</w:t>
            </w:r>
          </w:p>
        </w:tc>
        <w:tc>
          <w:tcPr>
            <w:tcW w:type="dxa" w:w="1440"/>
          </w:tcPr>
          <w:p>
            <w:r>
              <w:rPr>
                <w:sz w:val="18"/>
              </w:rPr>
              <w:t>8</w:t>
            </w:r>
          </w:p>
        </w:tc>
        <w:tc>
          <w:tcPr>
            <w:tcW w:type="dxa" w:w="1440"/>
          </w:tcPr>
          <w:p>
            <w:r>
              <w:rPr>
                <w:sz w:val="18"/>
              </w:rPr>
              <w:t>53.2</w:t>
            </w:r>
          </w:p>
        </w:tc>
        <w:tc>
          <w:tcPr>
            <w:tcW w:type="dxa" w:w="1440"/>
          </w:tcPr>
          <w:p>
            <w:r>
              <w:rPr>
                <w:sz w:val="18"/>
              </w:rPr>
              <w:t>588</w:t>
            </w:r>
          </w:p>
        </w:tc>
        <w:tc>
          <w:tcPr>
            <w:tcW w:type="dxa" w:w="1584"/>
          </w:tcPr>
          <w:p>
            <w:r>
              <w:rPr>
                <w:sz w:val="18"/>
              </w:rPr>
              <w:t>0.25</w:t>
            </w:r>
          </w:p>
        </w:tc>
      </w:tr>
      <w:tr>
        <w:tc>
          <w:tcPr>
            <w:tcW w:type="dxa" w:w="3168"/>
          </w:tcPr>
          <w:p>
            <w:r>
              <w:rPr>
                <w:sz w:val="18"/>
              </w:rPr>
              <w:t>Flinders University (SA)</w:t>
            </w:r>
          </w:p>
        </w:tc>
        <w:tc>
          <w:tcPr>
            <w:tcW w:type="dxa" w:w="1440"/>
          </w:tcPr>
          <w:p>
            <w:r>
              <w:rPr>
                <w:sz w:val="18"/>
              </w:rPr>
              <w:t>2</w:t>
            </w:r>
          </w:p>
        </w:tc>
        <w:tc>
          <w:tcPr>
            <w:tcW w:type="dxa" w:w="1440"/>
          </w:tcPr>
          <w:p>
            <w:r>
              <w:rPr>
                <w:sz w:val="18"/>
              </w:rPr>
              <w:t>46.8</w:t>
            </w:r>
          </w:p>
        </w:tc>
        <w:tc>
          <w:tcPr>
            <w:tcW w:type="dxa" w:w="1440"/>
          </w:tcPr>
          <w:p>
            <w:r>
              <w:rPr>
                <w:sz w:val="18"/>
              </w:rPr>
              <w:t>461</w:t>
            </w:r>
          </w:p>
        </w:tc>
        <w:tc>
          <w:tcPr>
            <w:tcW w:type="dxa" w:w="1584"/>
          </w:tcPr>
          <w:p>
            <w:r>
              <w:rPr>
                <w:sz w:val="18"/>
              </w:rPr>
              <w:t>0.10</w:t>
            </w:r>
          </w:p>
        </w:tc>
      </w:tr>
    </w:tbl>
    <w:p/>
    <w:p>
      <w:r>
        <w:t>A ratio of 37 Mg of biomass per square metre per hectare of basal area is already at the edge of what a stand can physically carry, and the records above it sit at 70 and beyond. They are not high-biomass stands; they are per-hectare figures that their own basal area does not support. That is the same inflation every run in this study has met, reached through a different door.</w:t>
      </w:r>
    </w:p>
    <w:p>
      <w:pPr>
        <w:jc w:val="center"/>
      </w:pPr>
      <w:r>
        <w:drawing>
          <wp:inline xmlns:a="http://schemas.openxmlformats.org/drawingml/2006/main" xmlns:pic="http://schemas.openxmlformats.org/drawingml/2006/picture">
            <wp:extent cx="5760720" cy="2166692"/>
            <wp:docPr id="2" name="Picture 2"/>
            <wp:cNvGraphicFramePr>
              <a:graphicFrameLocks noChangeAspect="1"/>
            </wp:cNvGraphicFramePr>
            <a:graphic>
              <a:graphicData uri="http://schemas.openxmlformats.org/drawingml/2006/picture">
                <pic:pic>
                  <pic:nvPicPr>
                    <pic:cNvPr id="0" name="fig_02_where_the_ceiling_sits.png"/>
                    <pic:cNvPicPr/>
                  </pic:nvPicPr>
                  <pic:blipFill>
                    <a:blip r:embed="rId10"/>
                    <a:stretch>
                      <a:fillRect/>
                    </a:stretch>
                  </pic:blipFill>
                  <pic:spPr>
                    <a:xfrm>
                      <a:off x="0" y="0"/>
                      <a:ext cx="5760720" cy="2166692"/>
                    </a:xfrm>
                    <a:prstGeom prst="rect"/>
                  </pic:spPr>
                </pic:pic>
              </a:graphicData>
            </a:graphic>
          </wp:inline>
        </w:drawing>
      </w:r>
    </w:p>
    <w:p>
      <w:r>
        <w:rPr>
          <w:i/>
          <w:color w:val="52514E"/>
          <w:sz w:val="18"/>
        </w:rPr>
        <w:t>Figure 2. Where each ceiling falls on Run 0's own quantity, and who the tightest one removes.</w:t>
      </w:r>
    </w:p>
    <w:p>
      <w:pPr>
        <w:pStyle w:val="Heading1"/>
      </w:pPr>
      <w:r>
        <w:t>What to conclude</w:t>
      </w:r>
    </w:p>
    <w:p>
      <w:pPr>
        <w:pStyle w:val="ListBullet"/>
      </w:pPr>
      <w:r>
        <w:t>The ceiling is justified on its own and combined_Run's use of it stands. It improves Run 0 without the rebuild, improves the rebuild without anything else, and improves monotonically with tightness.</w:t>
      </w:r>
    </w:p>
    <w:p>
      <w:pPr>
        <w:pStyle w:val="ListBullet"/>
      </w:pPr>
      <w:r>
        <w:t>It is not circular. The ratio is computed from two site-table columns and M' enters nowhere, so it cannot be removing records for disagreeing with the layer.</w:t>
      </w:r>
    </w:p>
    <w:p>
      <w:pPr>
        <w:pStyle w:val="ListBullet"/>
      </w:pPr>
      <w:r>
        <w:t>Calibrate the percentile, never the value. The same percentile is 52.0 on reported biomass, 27.5 on Run 3's rebuild and 34.5 on combined_Run's wider base. A number carried between bases is a different filter.</w:t>
      </w:r>
    </w:p>
    <w:p>
      <w:pPr>
        <w:pStyle w:val="ListBullet"/>
      </w:pPr>
      <w:r>
        <w:t>p90 is the better choice than p95 on reported biomass - gap +0.107 against +0.073 - but it costs 104 sites, and on the rebuilt base the difference between percentiles is much smaller because the rebuild has already removed most of what the ceiling targets.</w:t>
      </w:r>
    </w:p>
    <w:p>
      <w:pPr>
        <w:pStyle w:val="ListBullet"/>
      </w:pPr>
      <w:r>
        <w:t>This closes the open item combined_Run listed. The remaining one is that the stem-mass alignment defect should go back to the library's custodians.</w:t>
      </w:r>
    </w:p>
    <w:p>
      <w:pPr>
        <w:pStyle w:val="Heading1"/>
      </w:pPr>
      <w:r>
        <w:t>Files</w:t>
      </w:r>
    </w:p>
    <w:tbl>
      <w:tblPr>
        <w:tblStyle w:val="LightGrid-Accent1"/>
        <w:tblW w:type="auto" w:w="0"/>
        <w:tblLook w:firstColumn="1" w:firstRow="1" w:lastColumn="0" w:lastRow="0" w:noHBand="0" w:noVBand="1" w:val="04A0"/>
      </w:tblPr>
      <w:tblGrid>
        <w:gridCol w:w="4320"/>
        <w:gridCol w:w="4320"/>
      </w:tblGrid>
      <w:tr>
        <w:tc>
          <w:tcPr>
            <w:tcW w:type="dxa" w:w="3456"/>
          </w:tcPr>
          <w:p>
            <w:r>
              <w:rPr>
                <w:b/>
                <w:sz w:val="18"/>
              </w:rPr>
              <w:t>file</w:t>
            </w:r>
          </w:p>
        </w:tc>
        <w:tc>
          <w:tcPr>
            <w:tcW w:type="dxa" w:w="5184"/>
          </w:tcPr>
          <w:p>
            <w:r>
              <w:rPr>
                <w:b/>
                <w:sz w:val="18"/>
              </w:rPr>
              <w:t>what it holds</w:t>
            </w:r>
          </w:p>
        </w:tc>
      </w:tr>
      <w:tr>
        <w:tc>
          <w:tcPr>
            <w:tcW w:type="dxa" w:w="3456"/>
          </w:tcPr>
          <w:p>
            <w:r>
              <w:rPr>
                <w:sz w:val="18"/>
              </w:rPr>
              <w:t>Step_01_run_ceiling.py</w:t>
            </w:r>
          </w:p>
        </w:tc>
        <w:tc>
          <w:tcPr>
            <w:tcW w:type="dxa" w:w="5184"/>
          </w:tcPr>
          <w:p>
            <w:r>
              <w:rPr>
                <w:sz w:val="18"/>
              </w:rPr>
              <w:t>the calibration and the six runs</w:t>
            </w:r>
          </w:p>
        </w:tc>
      </w:tr>
      <w:tr>
        <w:tc>
          <w:tcPr>
            <w:tcW w:type="dxa" w:w="3456"/>
          </w:tcPr>
          <w:p>
            <w:r>
              <w:rPr>
                <w:sz w:val="18"/>
              </w:rPr>
              <w:t>Step_02_plots_and_report.py</w:t>
            </w:r>
          </w:p>
        </w:tc>
        <w:tc>
          <w:tcPr>
            <w:tcW w:type="dxa" w:w="5184"/>
          </w:tcPr>
          <w:p>
            <w:r>
              <w:rPr>
                <w:sz w:val="18"/>
              </w:rPr>
              <w:t>the figures and this document</w:t>
            </w:r>
          </w:p>
        </w:tc>
      </w:tr>
      <w:tr>
        <w:tc>
          <w:tcPr>
            <w:tcW w:type="dxa" w:w="3456"/>
          </w:tcPr>
          <w:p>
            <w:r>
              <w:rPr>
                <w:sz w:val="18"/>
              </w:rPr>
              <w:t>outputs/ceiling_calibration.csv</w:t>
            </w:r>
          </w:p>
        </w:tc>
        <w:tc>
          <w:tcPr>
            <w:tcW w:type="dxa" w:w="5184"/>
          </w:tcPr>
          <w:p>
            <w:r>
              <w:rPr>
                <w:sz w:val="18"/>
              </w:rPr>
              <w:t>Table 1</w:t>
            </w:r>
          </w:p>
        </w:tc>
      </w:tr>
      <w:tr>
        <w:tc>
          <w:tcPr>
            <w:tcW w:type="dxa" w:w="3456"/>
          </w:tcPr>
          <w:p>
            <w:r>
              <w:rPr>
                <w:sz w:val="18"/>
              </w:rPr>
              <w:t>outputs/run05_headline.csv</w:t>
            </w:r>
          </w:p>
        </w:tc>
        <w:tc>
          <w:tcPr>
            <w:tcW w:type="dxa" w:w="5184"/>
          </w:tcPr>
          <w:p>
            <w:r>
              <w:rPr>
                <w:sz w:val="18"/>
              </w:rPr>
              <w:t>Table 2</w:t>
            </w:r>
          </w:p>
        </w:tc>
      </w:tr>
      <w:tr>
        <w:tc>
          <w:tcPr>
            <w:tcW w:type="dxa" w:w="3456"/>
          </w:tcPr>
          <w:p>
            <w:r>
              <w:rPr>
                <w:sz w:val="18"/>
              </w:rPr>
              <w:t>outputs/removed_by_ceiling.csv</w:t>
            </w:r>
          </w:p>
        </w:tc>
        <w:tc>
          <w:tcPr>
            <w:tcW w:type="dxa" w:w="5184"/>
          </w:tcPr>
          <w:p>
            <w:r>
              <w:rPr>
                <w:sz w:val="18"/>
              </w:rPr>
              <w:t>every site each ceiling removes</w:t>
            </w:r>
          </w:p>
        </w:tc>
      </w:tr>
      <w:tr>
        <w:tc>
          <w:tcPr>
            <w:tcW w:type="dxa" w:w="3456"/>
          </w:tcPr>
          <w:p>
            <w:r>
              <w:rPr>
                <w:sz w:val="18"/>
              </w:rPr>
              <w:t>outputs/&lt;config&gt;/matches.csv</w:t>
            </w:r>
          </w:p>
        </w:tc>
        <w:tc>
          <w:tcPr>
            <w:tcW w:type="dxa" w:w="5184"/>
          </w:tcPr>
          <w:p>
            <w:r>
              <w:rPr>
                <w:sz w:val="18"/>
              </w:rPr>
              <w:t>site-level matches, and metrics.csv</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