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2026-09-20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4464"/>
          </w:tcPr>
          <w:p>
            <w:r>
              <w:rPr>
                <w:b/>
                <w:sz w:val="18"/>
              </w:rPr>
            </w:r>
          </w:p>
        </w:tc>
        <w:tc>
          <w:tcPr>
            <w:tcW w:type="dxa" w:w="1152"/>
          </w:tcPr>
          <w:p>
            <w:r>
              <w:rPr>
                <w:b/>
                <w:sz w:val="18"/>
              </w:rPr>
              <w:t>R²</w:t>
            </w:r>
          </w:p>
        </w:tc>
        <w:tc>
          <w:tcPr>
            <w:tcW w:type="dxa" w:w="1152"/>
          </w:tcPr>
          <w:p>
            <w:r>
              <w:rPr>
                <w:b/>
                <w:sz w:val="18"/>
              </w:rPr>
              <w:t>RMSE</w:t>
            </w:r>
          </w:p>
        </w:tc>
        <w:tc>
          <w:tcPr>
            <w:tcW w:type="dxa" w:w="1152"/>
          </w:tcPr>
          <w:p>
            <w:r>
              <w:rPr>
                <w:b/>
                <w:sz w:val="18"/>
              </w:rPr>
              <w:t>MAE</w:t>
            </w:r>
          </w:p>
        </w:tc>
        <w:tc>
          <w:tcPr>
            <w:tcW w:type="dxa" w:w="1152"/>
          </w:tcPr>
          <w:p>
            <w:r>
              <w:rPr>
                <w:b/>
                <w:sz w:val="18"/>
              </w:rPr>
              <w:t>bias</w:t>
            </w:r>
          </w:p>
        </w:tc>
      </w:tr>
      <w:tr>
        <w:tc>
          <w:tcPr>
            <w:tcW w:type="dxa" w:w="4464"/>
          </w:tcPr>
          <w:p>
            <w:r>
              <w:rPr>
                <w:sz w:val="18"/>
              </w:rPr>
              <w:t>Out of fold, year-group CV — quote this</w:t>
            </w:r>
          </w:p>
        </w:tc>
        <w:tc>
          <w:tcPr>
            <w:tcW w:type="dxa" w:w="1152"/>
          </w:tcPr>
          <w:p>
            <w:r>
              <w:rPr>
                <w:sz w:val="18"/>
              </w:rPr>
              <w:t>0.931</w:t>
            </w:r>
          </w:p>
        </w:tc>
        <w:tc>
          <w:tcPr>
            <w:tcW w:type="dxa" w:w="1152"/>
          </w:tcPr>
          <w:p>
            <w:r>
              <w:rPr>
                <w:sz w:val="18"/>
              </w:rPr>
              <w:t>0.754</w:t>
            </w:r>
          </w:p>
        </w:tc>
        <w:tc>
          <w:tcPr>
            <w:tcW w:type="dxa" w:w="1152"/>
          </w:tcPr>
          <w:p>
            <w:r>
              <w:rPr>
                <w:sz w:val="18"/>
              </w:rPr>
              <w:t>0.548</w:t>
            </w:r>
          </w:p>
        </w:tc>
        <w:tc>
          <w:tcPr>
            <w:tcW w:type="dxa" w:w="1152"/>
          </w:tcPr>
          <w:p>
            <w:r>
              <w:rPr>
                <w:sz w:val="18"/>
              </w:rPr>
              <w:t>+0.004</w:t>
            </w:r>
          </w:p>
        </w:tc>
      </w:tr>
      <w:tr>
        <w:tc>
          <w:tcPr>
            <w:tcW w:type="dxa" w:w="4464"/>
          </w:tcPr>
          <w:p>
            <w:r>
              <w:rPr>
                <w:sz w:val="18"/>
              </w:rPr>
              <w:t>In sample, full grid, 30 years</w:t>
            </w:r>
          </w:p>
        </w:tc>
        <w:tc>
          <w:tcPr>
            <w:tcW w:type="dxa" w:w="1152"/>
          </w:tcPr>
          <w:p>
            <w:r>
              <w:rPr>
                <w:sz w:val="18"/>
              </w:rPr>
              <w:t>0.968</w:t>
            </w:r>
          </w:p>
        </w:tc>
        <w:tc>
          <w:tcPr>
            <w:tcW w:type="dxa" w:w="1152"/>
          </w:tcPr>
          <w:p>
            <w:r>
              <w:rPr>
                <w:sz w:val="18"/>
              </w:rPr>
              <w:t>0.513</w:t>
            </w:r>
          </w:p>
        </w:tc>
        <w:tc>
          <w:tcPr>
            <w:tcW w:type="dxa" w:w="1152"/>
          </w:tcPr>
          <w:p>
            <w:r>
              <w:rPr>
                <w:sz w:val="18"/>
              </w:rPr>
              <w:t>0.262</w:t>
            </w:r>
          </w:p>
        </w:tc>
        <w:tc>
          <w:tcPr>
            <w:tcW w:type="dxa" w:w="1152"/>
          </w:tcPr>
          <w:p>
            <w:r>
              <w:rPr>
                <w:sz w:val="18"/>
              </w:rPr>
              <w:t>+0.002</w:t>
            </w:r>
          </w:p>
        </w:tc>
      </w:tr>
    </w:tbl>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pPr>
        <w:jc w:val="center"/>
      </w:pPr>
      <w:r>
        <w:drawing>
          <wp:inline xmlns:a="http://schemas.openxmlformats.org/drawingml/2006/main" xmlns:pic="http://schemas.openxmlformats.org/drawingml/2006/picture">
            <wp:extent cx="5852160" cy="2310063"/>
            <wp:docPr id="1" name="Picture 1"/>
            <wp:cNvGraphicFramePr>
              <a:graphicFrameLocks noChangeAspect="1"/>
            </wp:cNvGraphicFramePr>
            <a:graphic>
              <a:graphicData uri="http://schemas.openxmlformats.org/drawingml/2006/picture">
                <pic:pic>
                  <pic:nvPicPr>
                    <pic:cNvPr id="0" name="fig_01_accuracy.png"/>
                    <pic:cNvPicPr/>
                  </pic:nvPicPr>
                  <pic:blipFill>
                    <a:blip r:embed="rId9"/>
                    <a:stretch>
                      <a:fillRect/>
                    </a:stretch>
                  </pic:blipFill>
                  <pic:spPr>
                    <a:xfrm>
                      <a:off x="0" y="0"/>
                      <a:ext cx="5852160" cy="2310063"/>
                    </a:xfrm>
                    <a:prstGeom prst="rect"/>
                  </pic:spPr>
                </pic:pic>
              </a:graphicData>
            </a:graphic>
          </wp:inline>
        </w:drawing>
      </w:r>
    </w:p>
    <w:p>
      <w:pPr>
        <w:jc w:val="left"/>
      </w:pPr>
      <w:r>
        <w:rPr>
          <w:i/>
          <w:color w:val="52514E"/>
          <w:sz w:val="17"/>
        </w:rPr>
        <w:t>Figure 1. Modelled against observed FPI (a, five representative years, log density) and accuracy year by year (b). The gap between the two lines in (b) is the cost of predicting an unseen year.</w:t>
      </w:r>
    </w:p>
    <w:p>
      <w:pPr>
        <w:jc w:val="center"/>
      </w:pPr>
      <w:r>
        <w:drawing>
          <wp:inline xmlns:a="http://schemas.openxmlformats.org/drawingml/2006/main" xmlns:pic="http://schemas.openxmlformats.org/drawingml/2006/picture">
            <wp:extent cx="5852160" cy="2018632"/>
            <wp:docPr id="2" name="Picture 2"/>
            <wp:cNvGraphicFramePr>
              <a:graphicFrameLocks noChangeAspect="1"/>
            </wp:cNvGraphicFramePr>
            <a:graphic>
              <a:graphicData uri="http://schemas.openxmlformats.org/drawingml/2006/picture">
                <pic:pic>
                  <pic:nvPicPr>
                    <pic:cNvPr id="0" name="fig_02_hist_fpi_maps.png"/>
                    <pic:cNvPicPr/>
                  </pic:nvPicPr>
                  <pic:blipFill>
                    <a:blip r:embed="rId10"/>
                    <a:stretch>
                      <a:fillRect/>
                    </a:stretch>
                  </pic:blipFill>
                  <pic:spPr>
                    <a:xfrm>
                      <a:off x="0" y="0"/>
                      <a:ext cx="5852160" cy="2018632"/>
                    </a:xfrm>
                    <a:prstGeom prst="rect"/>
                  </pic:spPr>
                </pic:pic>
              </a:graphicData>
            </a:graphic>
          </wp:inline>
        </w:drawing>
      </w:r>
    </w:p>
    <w:p>
      <w:pPr>
        <w:jc w:val="left"/>
      </w:pPr>
      <w:r>
        <w:rPr>
          <w:i/>
          <w:color w:val="52514E"/>
          <w:sz w:val="17"/>
        </w:rPr>
        <w:t>Figure 2. The 30-year mean FPI, observed (a) and modelled (b), and their difference (c). The pattern and the level both carry; residuals are fine-grained and concentrated along the forested east and south-west, not structured at continental scale.</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jc w:val="center"/>
      </w:pPr>
      <w:r>
        <w:drawing>
          <wp:inline xmlns:a="http://schemas.openxmlformats.org/drawingml/2006/main" xmlns:pic="http://schemas.openxmlformats.org/drawingml/2006/picture">
            <wp:extent cx="5852160" cy="2633063"/>
            <wp:docPr id="3" name="Picture 3"/>
            <wp:cNvGraphicFramePr>
              <a:graphicFrameLocks noChangeAspect="1"/>
            </wp:cNvGraphicFramePr>
            <a:graphic>
              <a:graphicData uri="http://schemas.openxmlformats.org/drawingml/2006/picture">
                <pic:pic>
                  <pic:nvPicPr>
                    <pic:cNvPr id="0" name="fig_03_denominator.png"/>
                    <pic:cNvPicPr/>
                  </pic:nvPicPr>
                  <pic:blipFill>
                    <a:blip r:embed="rId11"/>
                    <a:stretch>
                      <a:fillRect/>
                    </a:stretch>
                  </pic:blipFill>
                  <pic:spPr>
                    <a:xfrm>
                      <a:off x="0" y="0"/>
                      <a:ext cx="5852160" cy="2633063"/>
                    </a:xfrm>
                    <a:prstGeom prst="rect"/>
                  </pic:spPr>
                </pic:pic>
              </a:graphicData>
            </a:graphic>
          </wp:inline>
        </w:drawing>
      </w:r>
    </w:p>
    <w:p>
      <w:pPr>
        <w:jc w:val="left"/>
      </w:pPr>
      <w:r>
        <w:rPr>
          <w:i/>
          <w:color w:val="52514E"/>
          <w:sz w:val="17"/>
        </w:rPr>
        <w:t>Figure 3. The denominator swap (a, b) against the averaging order (c). The swap is centred on 1 and narrow; the averaging order is one-sided and about three per cent, because Jensen's inequality only ever runs one way.</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160"/>
          </w:tcPr>
          <w:p>
            <w:r>
              <w:rPr>
                <w:b/>
                <w:sz w:val="18"/>
              </w:rPr>
              <w:t>Option B (per-year num.)</w:t>
            </w:r>
          </w:p>
        </w:tc>
        <w:tc>
          <w:tcPr>
            <w:tcW w:type="dxa" w:w="1872"/>
          </w:tcPr>
          <w:p>
            <w:r>
              <w:rPr>
                <w:b/>
                <w:sz w:val="18"/>
              </w:rPr>
              <w:t>modelled, per-year</w:t>
            </w:r>
          </w:p>
        </w:tc>
        <w:tc>
          <w:tcPr>
            <w:tcW w:type="dxa" w:w="1872"/>
          </w:tcPr>
          <w:p>
            <w:r>
              <w:rPr>
                <w:b/>
                <w:sz w:val="18"/>
              </w:rPr>
              <w:t>modelled, mean-FPI</w:t>
            </w:r>
          </w:p>
        </w:tc>
      </w:tr>
      <w:tr>
        <w:tc>
          <w:tcPr>
            <w:tcW w:type="dxa" w:w="1296"/>
          </w:tcPr>
          <w:p>
            <w:r>
              <w:rPr>
                <w:sz w:val="18"/>
              </w:rPr>
              <w:t>SSP126</w:t>
            </w:r>
          </w:p>
        </w:tc>
        <w:tc>
          <w:tcPr>
            <w:tcW w:type="dxa" w:w="1440"/>
          </w:tcPr>
          <w:p>
            <w:r>
              <w:rPr>
                <w:sz w:val="18"/>
              </w:rPr>
              <w:t>2035-2064</w:t>
            </w:r>
          </w:p>
        </w:tc>
        <w:tc>
          <w:tcPr>
            <w:tcW w:type="dxa" w:w="2160"/>
          </w:tcPr>
          <w:p>
            <w:r>
              <w:rPr>
                <w:sz w:val="18"/>
              </w:rPr>
              <w:t>+1.1</w:t>
            </w:r>
          </w:p>
        </w:tc>
        <w:tc>
          <w:tcPr>
            <w:tcW w:type="dxa" w:w="1872"/>
          </w:tcPr>
          <w:p>
            <w:r>
              <w:rPr>
                <w:sz w:val="18"/>
              </w:rPr>
              <w:t>-3.2</w:t>
            </w:r>
          </w:p>
        </w:tc>
        <w:tc>
          <w:tcPr>
            <w:tcW w:type="dxa" w:w="1872"/>
          </w:tcPr>
          <w:p>
            <w:r>
              <w:rPr>
                <w:sz w:val="18"/>
              </w:rPr>
              <w:t>-2.6</w:t>
            </w:r>
          </w:p>
        </w:tc>
      </w:tr>
      <w:tr>
        <w:tc>
          <w:tcPr>
            <w:tcW w:type="dxa" w:w="1296"/>
          </w:tcPr>
          <w:p>
            <w:r>
              <w:rPr>
                <w:sz w:val="18"/>
              </w:rPr>
              <w:t>SSP245</w:t>
            </w:r>
          </w:p>
        </w:tc>
        <w:tc>
          <w:tcPr>
            <w:tcW w:type="dxa" w:w="1440"/>
          </w:tcPr>
          <w:p>
            <w:r>
              <w:rPr>
                <w:sz w:val="18"/>
              </w:rPr>
              <w:t>2035-2064</w:t>
            </w:r>
          </w:p>
        </w:tc>
        <w:tc>
          <w:tcPr>
            <w:tcW w:type="dxa" w:w="2160"/>
          </w:tcPr>
          <w:p>
            <w:r>
              <w:rPr>
                <w:sz w:val="18"/>
              </w:rPr>
              <w:t>-6.4</w:t>
            </w:r>
          </w:p>
        </w:tc>
        <w:tc>
          <w:tcPr>
            <w:tcW w:type="dxa" w:w="1872"/>
          </w:tcPr>
          <w:p>
            <w:r>
              <w:rPr>
                <w:sz w:val="18"/>
              </w:rPr>
              <w:t>-11.2</w:t>
            </w:r>
          </w:p>
        </w:tc>
        <w:tc>
          <w:tcPr>
            <w:tcW w:type="dxa" w:w="1872"/>
          </w:tcPr>
          <w:p>
            <w:r>
              <w:rPr>
                <w:sz w:val="18"/>
              </w:rPr>
              <w:t>-10.2</w:t>
            </w:r>
          </w:p>
        </w:tc>
      </w:tr>
      <w:tr>
        <w:tc>
          <w:tcPr>
            <w:tcW w:type="dxa" w:w="1296"/>
          </w:tcPr>
          <w:p>
            <w:r>
              <w:rPr>
                <w:sz w:val="18"/>
              </w:rPr>
              <w:t>SSP370</w:t>
            </w:r>
          </w:p>
        </w:tc>
        <w:tc>
          <w:tcPr>
            <w:tcW w:type="dxa" w:w="1440"/>
          </w:tcPr>
          <w:p>
            <w:r>
              <w:rPr>
                <w:sz w:val="18"/>
              </w:rPr>
              <w:t>2035-2064</w:t>
            </w:r>
          </w:p>
        </w:tc>
        <w:tc>
          <w:tcPr>
            <w:tcW w:type="dxa" w:w="2160"/>
          </w:tcPr>
          <w:p>
            <w:r>
              <w:rPr>
                <w:sz w:val="18"/>
              </w:rPr>
              <w:t>-0.7</w:t>
            </w:r>
          </w:p>
        </w:tc>
        <w:tc>
          <w:tcPr>
            <w:tcW w:type="dxa" w:w="1872"/>
          </w:tcPr>
          <w:p>
            <w:r>
              <w:rPr>
                <w:sz w:val="18"/>
              </w:rPr>
              <w:t>-5.1</w:t>
            </w:r>
          </w:p>
        </w:tc>
        <w:tc>
          <w:tcPr>
            <w:tcW w:type="dxa" w:w="1872"/>
          </w:tcPr>
          <w:p>
            <w:r>
              <w:rPr>
                <w:sz w:val="18"/>
              </w:rPr>
              <w:t>-4.3</w:t>
            </w:r>
          </w:p>
        </w:tc>
      </w:tr>
      <w:tr>
        <w:tc>
          <w:tcPr>
            <w:tcW w:type="dxa" w:w="1296"/>
          </w:tcPr>
          <w:p>
            <w:r>
              <w:rPr>
                <w:sz w:val="18"/>
              </w:rPr>
              <w:t>SSP585</w:t>
            </w:r>
          </w:p>
        </w:tc>
        <w:tc>
          <w:tcPr>
            <w:tcW w:type="dxa" w:w="1440"/>
          </w:tcPr>
          <w:p>
            <w:r>
              <w:rPr>
                <w:sz w:val="18"/>
              </w:rPr>
              <w:t>2035-2064</w:t>
            </w:r>
          </w:p>
        </w:tc>
        <w:tc>
          <w:tcPr>
            <w:tcW w:type="dxa" w:w="2160"/>
          </w:tcPr>
          <w:p>
            <w:r>
              <w:rPr>
                <w:sz w:val="18"/>
              </w:rPr>
              <w:t>+1.0</w:t>
            </w:r>
          </w:p>
        </w:tc>
        <w:tc>
          <w:tcPr>
            <w:tcW w:type="dxa" w:w="1872"/>
          </w:tcPr>
          <w:p>
            <w:r>
              <w:rPr>
                <w:sz w:val="18"/>
              </w:rPr>
              <w:t>-4.3</w:t>
            </w:r>
          </w:p>
        </w:tc>
        <w:tc>
          <w:tcPr>
            <w:tcW w:type="dxa" w:w="1872"/>
          </w:tcPr>
          <w:p>
            <w:r>
              <w:rPr>
                <w:sz w:val="18"/>
              </w:rPr>
              <w:t>-3.6</w:t>
            </w:r>
          </w:p>
        </w:tc>
      </w:tr>
      <w:tr>
        <w:tc>
          <w:tcPr>
            <w:tcW w:type="dxa" w:w="1296"/>
          </w:tcPr>
          <w:p>
            <w:r>
              <w:rPr>
                <w:sz w:val="18"/>
              </w:rPr>
              <w:t>SSP126</w:t>
            </w:r>
          </w:p>
        </w:tc>
        <w:tc>
          <w:tcPr>
            <w:tcW w:type="dxa" w:w="1440"/>
          </w:tcPr>
          <w:p>
            <w:r>
              <w:rPr>
                <w:sz w:val="18"/>
              </w:rPr>
              <w:t>2070-2099</w:t>
            </w:r>
          </w:p>
        </w:tc>
        <w:tc>
          <w:tcPr>
            <w:tcW w:type="dxa" w:w="2160"/>
          </w:tcPr>
          <w:p>
            <w:r>
              <w:rPr>
                <w:sz w:val="18"/>
              </w:rPr>
              <w:t>-8.9</w:t>
            </w:r>
          </w:p>
        </w:tc>
        <w:tc>
          <w:tcPr>
            <w:tcW w:type="dxa" w:w="1872"/>
          </w:tcPr>
          <w:p>
            <w:r>
              <w:rPr>
                <w:sz w:val="18"/>
              </w:rPr>
              <w:t>-13.1</w:t>
            </w:r>
          </w:p>
        </w:tc>
        <w:tc>
          <w:tcPr>
            <w:tcW w:type="dxa" w:w="1872"/>
          </w:tcPr>
          <w:p>
            <w:r>
              <w:rPr>
                <w:sz w:val="18"/>
              </w:rPr>
              <w:t>-12.3</w:t>
            </w:r>
          </w:p>
        </w:tc>
      </w:tr>
      <w:tr>
        <w:tc>
          <w:tcPr>
            <w:tcW w:type="dxa" w:w="1296"/>
          </w:tcPr>
          <w:p>
            <w:r>
              <w:rPr>
                <w:sz w:val="18"/>
              </w:rPr>
              <w:t>SSP245</w:t>
            </w:r>
          </w:p>
        </w:tc>
        <w:tc>
          <w:tcPr>
            <w:tcW w:type="dxa" w:w="1440"/>
          </w:tcPr>
          <w:p>
            <w:r>
              <w:rPr>
                <w:sz w:val="18"/>
              </w:rPr>
              <w:t>2070-2099</w:t>
            </w:r>
          </w:p>
        </w:tc>
        <w:tc>
          <w:tcPr>
            <w:tcW w:type="dxa" w:w="2160"/>
          </w:tcPr>
          <w:p>
            <w:r>
              <w:rPr>
                <w:sz w:val="18"/>
              </w:rPr>
              <w:t>-0.8</w:t>
            </w:r>
          </w:p>
        </w:tc>
        <w:tc>
          <w:tcPr>
            <w:tcW w:type="dxa" w:w="1872"/>
          </w:tcPr>
          <w:p>
            <w:r>
              <w:rPr>
                <w:sz w:val="18"/>
              </w:rPr>
              <w:t>-5.1</w:t>
            </w:r>
          </w:p>
        </w:tc>
        <w:tc>
          <w:tcPr>
            <w:tcW w:type="dxa" w:w="1872"/>
          </w:tcPr>
          <w:p>
            <w:r>
              <w:rPr>
                <w:sz w:val="18"/>
              </w:rPr>
              <w:t>-4.0</w:t>
            </w:r>
          </w:p>
        </w:tc>
      </w:tr>
      <w:tr>
        <w:tc>
          <w:tcPr>
            <w:tcW w:type="dxa" w:w="1296"/>
          </w:tcPr>
          <w:p>
            <w:r>
              <w:rPr>
                <w:sz w:val="18"/>
              </w:rPr>
              <w:t>SSP370</w:t>
            </w:r>
          </w:p>
        </w:tc>
        <w:tc>
          <w:tcPr>
            <w:tcW w:type="dxa" w:w="1440"/>
          </w:tcPr>
          <w:p>
            <w:r>
              <w:rPr>
                <w:sz w:val="18"/>
              </w:rPr>
              <w:t>2070-2099</w:t>
            </w:r>
          </w:p>
        </w:tc>
        <w:tc>
          <w:tcPr>
            <w:tcW w:type="dxa" w:w="2160"/>
          </w:tcPr>
          <w:p>
            <w:r>
              <w:rPr>
                <w:sz w:val="18"/>
              </w:rPr>
              <w:t>-17.4</w:t>
            </w:r>
          </w:p>
        </w:tc>
        <w:tc>
          <w:tcPr>
            <w:tcW w:type="dxa" w:w="1872"/>
          </w:tcPr>
          <w:p>
            <w:r>
              <w:rPr>
                <w:sz w:val="18"/>
              </w:rPr>
              <w:t>-21.9</w:t>
            </w:r>
          </w:p>
        </w:tc>
        <w:tc>
          <w:tcPr>
            <w:tcW w:type="dxa" w:w="1872"/>
          </w:tcPr>
          <w:p>
            <w:r>
              <w:rPr>
                <w:sz w:val="18"/>
              </w:rPr>
              <w:t>-20.1</w:t>
            </w:r>
          </w:p>
        </w:tc>
      </w:tr>
      <w:tr>
        <w:tc>
          <w:tcPr>
            <w:tcW w:type="dxa" w:w="1296"/>
          </w:tcPr>
          <w:p>
            <w:r>
              <w:rPr>
                <w:sz w:val="18"/>
              </w:rPr>
              <w:t>SSP585</w:t>
            </w:r>
          </w:p>
        </w:tc>
        <w:tc>
          <w:tcPr>
            <w:tcW w:type="dxa" w:w="1440"/>
          </w:tcPr>
          <w:p>
            <w:r>
              <w:rPr>
                <w:sz w:val="18"/>
              </w:rPr>
              <w:t>2070-2099</w:t>
            </w:r>
          </w:p>
        </w:tc>
        <w:tc>
          <w:tcPr>
            <w:tcW w:type="dxa" w:w="2160"/>
          </w:tcPr>
          <w:p>
            <w:r>
              <w:rPr>
                <w:sz w:val="18"/>
              </w:rPr>
              <w:t>-18.6</w:t>
            </w:r>
          </w:p>
        </w:tc>
        <w:tc>
          <w:tcPr>
            <w:tcW w:type="dxa" w:w="1872"/>
          </w:tcPr>
          <w:p>
            <w:r>
              <w:rPr>
                <w:sz w:val="18"/>
              </w:rPr>
              <w:t>-22.8</w:t>
            </w:r>
          </w:p>
        </w:tc>
        <w:tc>
          <w:tcPr>
            <w:tcW w:type="dxa" w:w="1872"/>
          </w:tcPr>
          <w:p>
            <w:r>
              <w:rPr>
                <w:sz w:val="18"/>
              </w:rPr>
              <w:t>-21.2</w:t>
            </w:r>
          </w:p>
        </w:tc>
      </w:tr>
    </w:tbl>
    <w:p/>
    <w:p>
      <w:r>
        <w:t>Median change in M' against New_M_2019, per cent — the step FullCAM sees from its historical maxAbgM to the future input. Option B's column pairs a per-year numerator with a mean-FPI denominator, which is the mismatch described above; two of its eight windows come out positive. On the matched footing every window is negative, from -3.2% to -22.8%.</w:t>
      </w:r>
    </w:p>
    <w:p>
      <w:pPr>
        <w:jc w:val="center"/>
      </w:pPr>
      <w:r>
        <w:drawing>
          <wp:inline xmlns:a="http://schemas.openxmlformats.org/drawingml/2006/main" xmlns:pic="http://schemas.openxmlformats.org/drawingml/2006/picture">
            <wp:extent cx="5852160" cy="2200507"/>
            <wp:docPr id="4" name="Picture 4"/>
            <wp:cNvGraphicFramePr>
              <a:graphicFrameLocks noChangeAspect="1"/>
            </wp:cNvGraphicFramePr>
            <a:graphic>
              <a:graphicData uri="http://schemas.openxmlformats.org/drawingml/2006/picture">
                <pic:pic>
                  <pic:nvPicPr>
                    <pic:cNvPr id="0" name="fig_04_mprime_change.png"/>
                    <pic:cNvPicPr/>
                  </pic:nvPicPr>
                  <pic:blipFill>
                    <a:blip r:embed="rId12"/>
                    <a:stretch>
                      <a:fillRect/>
                    </a:stretch>
                  </pic:blipFill>
                  <pic:spPr>
                    <a:xfrm>
                      <a:off x="0" y="0"/>
                      <a:ext cx="5852160" cy="2200507"/>
                    </a:xfrm>
                    <a:prstGeom prst="rect"/>
                  </pic:spPr>
                </pic:pic>
              </a:graphicData>
            </a:graphic>
          </wp:inline>
        </w:drawing>
      </w:r>
    </w:p>
    <w:p>
      <w:pPr>
        <w:jc w:val="left"/>
      </w:pPr>
      <w:r>
        <w:rPr>
          <w:i/>
          <w:color w:val="52514E"/>
          <w:sz w:val="17"/>
        </w:rPr>
        <w:t>Figure 4. The step FullCAM sees, by scenario and window. Blue is the observed denominator as published in Option B, orange the modelled one. In (a) the two positive bars turn negative; in (b), where the averaging orders already matched, the bars barely move — which is the expected result and a check on the arithmetic.</w:t>
      </w:r>
    </w:p>
    <w:p>
      <w:pPr>
        <w:jc w:val="center"/>
      </w:pPr>
      <w:r>
        <w:drawing>
          <wp:inline xmlns:a="http://schemas.openxmlformats.org/drawingml/2006/main" xmlns:pic="http://schemas.openxmlformats.org/drawingml/2006/picture">
            <wp:extent cx="5852160" cy="2780599"/>
            <wp:docPr id="5" name="Picture 5"/>
            <wp:cNvGraphicFramePr>
              <a:graphicFrameLocks noChangeAspect="1"/>
            </wp:cNvGraphicFramePr>
            <a:graphic>
              <a:graphicData uri="http://schemas.openxmlformats.org/drawingml/2006/picture">
                <pic:pic>
                  <pic:nvPicPr>
                    <pic:cNvPr id="0" name="fig_05_mprime_change_maps.png"/>
                    <pic:cNvPicPr/>
                  </pic:nvPicPr>
                  <pic:blipFill>
                    <a:blip r:embed="rId13"/>
                    <a:stretch>
                      <a:fillRect/>
                    </a:stretch>
                  </pic:blipFill>
                  <pic:spPr>
                    <a:xfrm>
                      <a:off x="0" y="0"/>
                      <a:ext cx="5852160" cy="2780599"/>
                    </a:xfrm>
                    <a:prstGeom prst="rect"/>
                  </pic:spPr>
                </pic:pic>
              </a:graphicData>
            </a:graphic>
          </wp:inline>
        </w:drawing>
      </w:r>
    </w:p>
    <w:p>
      <w:pPr>
        <w:jc w:val="left"/>
      </w:pPr>
      <w:r>
        <w:rPr>
          <w:i/>
          <w:color w:val="52514E"/>
          <w:sz w:val="17"/>
        </w:rPr>
        <w:t>Figure 5. Where the projected change sits. Declines dominate the forested east, south-west and Tasmania; the increases are in arid interior cells whose M' is small in absolute terms.</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New_M_2019</w:t>
      </w:r>
    </w:p>
    <w:p>
      <w:r>
        <w:t>New_M_2019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New_M_2019,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New_M_2019),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New_M_2019)²),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New_M_2019|,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New_M_2019</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New_M_2019</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pPr>
        <w:jc w:val="center"/>
      </w:pPr>
      <w:r>
        <w:drawing>
          <wp:inline xmlns:a="http://schemas.openxmlformats.org/drawingml/2006/main" xmlns:pic="http://schemas.openxmlformats.org/drawingml/2006/picture">
            <wp:extent cx="5852160" cy="4477028"/>
            <wp:docPr id="6" name="Picture 6"/>
            <wp:cNvGraphicFramePr>
              <a:graphicFrameLocks noChangeAspect="1"/>
            </wp:cNvGraphicFramePr>
            <a:graphic>
              <a:graphicData uri="http://schemas.openxmlformats.org/drawingml/2006/picture">
                <pic:pic>
                  <pic:nvPicPr>
                    <pic:cNvPr id="0" name="fig_06_cv_interannual.png"/>
                    <pic:cNvPicPr/>
                  </pic:nvPicPr>
                  <pic:blipFill>
                    <a:blip r:embed="rId14"/>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7" name="Picture 7"/>
            <wp:cNvGraphicFramePr>
              <a:graphicFrameLocks noChangeAspect="1"/>
            </wp:cNvGraphicFramePr>
            <a:graphic>
              <a:graphicData uri="http://schemas.openxmlformats.org/drawingml/2006/picture">
                <pic:pic>
                  <pic:nvPicPr>
                    <pic:cNvPr id="0" name="fig_07_cv_change.png"/>
                    <pic:cNvPicPr/>
                  </pic:nvPicPr>
                  <pic:blipFill>
                    <a:blip r:embed="rId15"/>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pPr>
        <w:jc w:val="center"/>
      </w:pPr>
      <w:r>
        <w:drawing>
          <wp:inline xmlns:a="http://schemas.openxmlformats.org/drawingml/2006/main" xmlns:pic="http://schemas.openxmlformats.org/drawingml/2006/picture">
            <wp:extent cx="5852160" cy="2722137"/>
            <wp:docPr id="8" name="Picture 8"/>
            <wp:cNvGraphicFramePr>
              <a:graphicFrameLocks noChangeAspect="1"/>
            </wp:cNvGraphicFramePr>
            <a:graphic>
              <a:graphicData uri="http://schemas.openxmlformats.org/drawingml/2006/picture">
                <pic:pic>
                  <pic:nvPicPr>
                    <pic:cNvPr id="0" name="fig_08_cv_across_scenarios.png"/>
                    <pic:cNvPicPr/>
                  </pic:nvPicPr>
                  <pic:blipFill>
                    <a:blip r:embed="rId16"/>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0.998</w:t>
            </w:r>
          </w:p>
        </w:tc>
        <w:tc>
          <w:tcPr>
            <w:tcW w:type="dxa" w:w="1008"/>
          </w:tcPr>
          <w:p>
            <w:r>
              <w:rPr>
                <w:sz w:val="18"/>
              </w:rPr>
              <w:t>1.013</w:t>
            </w:r>
          </w:p>
        </w:tc>
        <w:tc>
          <w:tcPr>
            <w:tcW w:type="dxa" w:w="1008"/>
          </w:tcPr>
          <w:p>
            <w:r>
              <w:rPr>
                <w:sz w:val="18"/>
              </w:rPr>
              <w:t>-1.1</w:t>
            </w:r>
          </w:p>
        </w:tc>
        <w:tc>
          <w:tcPr>
            <w:tcW w:type="dxa" w:w="1008"/>
          </w:tcPr>
          <w:p>
            <w:r>
              <w:rPr>
                <w:sz w:val="18"/>
              </w:rPr>
              <w:t>5.8</w:t>
            </w:r>
          </w:p>
        </w:tc>
        <w:tc>
          <w:tcPr>
            <w:tcW w:type="dxa" w:w="1440"/>
          </w:tcPr>
          <w:p>
            <w:r>
              <w:rPr>
                <w:sz w:val="18"/>
              </w:rPr>
              <w:t>67</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-2.1</w:t>
            </w:r>
          </w:p>
        </w:tc>
        <w:tc>
          <w:tcPr>
            <w:tcW w:type="dxa" w:w="1008"/>
          </w:tcPr>
          <w:p>
            <w:r>
              <w:rPr>
                <w:sz w:val="18"/>
              </w:rPr>
              <w:t>8.3</w:t>
            </w:r>
          </w:p>
        </w:tc>
        <w:tc>
          <w:tcPr>
            <w:tcW w:type="dxa" w:w="1440"/>
          </w:tcPr>
          <w:p>
            <w:r>
              <w:rPr>
                <w:sz w:val="18"/>
              </w:rPr>
              <w:t>82</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1.032</w:t>
            </w:r>
          </w:p>
        </w:tc>
        <w:tc>
          <w:tcPr>
            <w:tcW w:type="dxa" w:w="1008"/>
          </w:tcPr>
          <w:p>
            <w:r>
              <w:rPr>
                <w:sz w:val="18"/>
              </w:rPr>
              <w:t>-1.1</w:t>
            </w:r>
          </w:p>
        </w:tc>
        <w:tc>
          <w:tcPr>
            <w:tcW w:type="dxa" w:w="1008"/>
          </w:tcPr>
          <w:p>
            <w:r>
              <w:rPr>
                <w:sz w:val="18"/>
              </w:rPr>
              <w:t>7.5</w:t>
            </w:r>
          </w:p>
        </w:tc>
        <w:tc>
          <w:tcPr>
            <w:tcW w:type="dxa" w:w="1440"/>
          </w:tcPr>
          <w:p>
            <w:r>
              <w:rPr>
                <w:sz w:val="18"/>
              </w:rPr>
              <w:t>73</w:t>
            </w:r>
          </w:p>
        </w:tc>
      </w:tr>
      <w:tr>
        <w:tc>
          <w:tcPr>
            <w:tcW w:type="dxa" w:w="1152"/>
          </w:tcPr>
          <w:p>
            <w:r>
              <w:rPr>
                <w:sz w:val="18"/>
              </w:rPr>
              <w:t>SSP585</w:t>
            </w:r>
          </w:p>
        </w:tc>
        <w:tc>
          <w:tcPr>
            <w:tcW w:type="dxa" w:w="1440"/>
          </w:tcPr>
          <w:p>
            <w:r>
              <w:rPr>
                <w:sz w:val="18"/>
              </w:rPr>
              <w:t>2035-2064</w:t>
            </w:r>
          </w:p>
        </w:tc>
        <w:tc>
          <w:tcPr>
            <w:tcW w:type="dxa" w:w="1008"/>
          </w:tcPr>
          <w:p>
            <w:r>
              <w:rPr>
                <w:sz w:val="18"/>
              </w:rPr>
              <w:t>0.996</w:t>
            </w:r>
          </w:p>
        </w:tc>
        <w:tc>
          <w:tcPr>
            <w:tcW w:type="dxa" w:w="1008"/>
          </w:tcPr>
          <w:p>
            <w:r>
              <w:rPr>
                <w:sz w:val="18"/>
              </w:rPr>
              <w:t>0.999</w:t>
            </w:r>
          </w:p>
        </w:tc>
        <w:tc>
          <w:tcPr>
            <w:tcW w:type="dxa" w:w="1008"/>
          </w:tcPr>
          <w:p>
            <w:r>
              <w:rPr>
                <w:sz w:val="18"/>
              </w:rPr>
              <w:t>-1.4</w:t>
            </w:r>
          </w:p>
        </w:tc>
        <w:tc>
          <w:tcPr>
            <w:tcW w:type="dxa" w:w="1008"/>
          </w:tcPr>
          <w:p>
            <w:r>
              <w:rPr>
                <w:sz w:val="18"/>
              </w:rPr>
              <w:t>7.6</w:t>
            </w:r>
          </w:p>
        </w:tc>
        <w:tc>
          <w:tcPr>
            <w:tcW w:type="dxa" w:w="1440"/>
          </w:tcPr>
          <w:p>
            <w:r>
              <w:rPr>
                <w:sz w:val="18"/>
              </w:rPr>
              <w:t>67</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1.017</w:t>
            </w:r>
          </w:p>
        </w:tc>
        <w:tc>
          <w:tcPr>
            <w:tcW w:type="dxa" w:w="1008"/>
          </w:tcPr>
          <w:p>
            <w:r>
              <w:rPr>
                <w:sz w:val="18"/>
              </w:rPr>
              <w:t>-3.5</w:t>
            </w:r>
          </w:p>
        </w:tc>
        <w:tc>
          <w:tcPr>
            <w:tcW w:type="dxa" w:w="1008"/>
          </w:tcPr>
          <w:p>
            <w:r>
              <w:rPr>
                <w:sz w:val="18"/>
              </w:rPr>
              <w:t>8.1</w:t>
            </w:r>
          </w:p>
        </w:tc>
        <w:tc>
          <w:tcPr>
            <w:tcW w:type="dxa" w:w="1440"/>
          </w:tcPr>
          <w:p>
            <w:r>
              <w:rPr>
                <w:sz w:val="18"/>
              </w:rPr>
              <w:t>90</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-0.4</w:t>
            </w:r>
          </w:p>
        </w:tc>
        <w:tc>
          <w:tcPr>
            <w:tcW w:type="dxa" w:w="1008"/>
          </w:tcPr>
          <w:p>
            <w:r>
              <w:rPr>
                <w:sz w:val="18"/>
              </w:rPr>
              <w:t>10.2</w:t>
            </w:r>
          </w:p>
        </w:tc>
        <w:tc>
          <w:tcPr>
            <w:tcW w:type="dxa" w:w="1440"/>
          </w:tcPr>
          <w:p>
            <w:r>
              <w:rPr>
                <w:sz w:val="18"/>
              </w:rPr>
              <w:t>69</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-4.5</w:t>
            </w:r>
          </w:p>
        </w:tc>
        <w:tc>
          <w:tcPr>
            <w:tcW w:type="dxa" w:w="1008"/>
          </w:tcPr>
          <w:p>
            <w:r>
              <w:rPr>
                <w:sz w:val="18"/>
              </w:rPr>
              <w:t>14.9</w:t>
            </w:r>
          </w:p>
        </w:tc>
        <w:tc>
          <w:tcPr>
            <w:tcW w:type="dxa" w:w="1440"/>
          </w:tcPr>
          <w:p>
            <w:r>
              <w:rPr>
                <w:sz w:val="18"/>
              </w:rPr>
              <w:t>90</w:t>
            </w:r>
          </w:p>
        </w:tc>
      </w:tr>
      <w:tr>
        <w:tc>
          <w:tcPr>
            <w:tcW w:type="dxa" w:w="1152"/>
          </w:tcPr>
          <w:p>
            <w:r>
              <w:rPr>
                <w:sz w:val="18"/>
              </w:rPr>
              <w:t>SSP585</w:t>
            </w:r>
          </w:p>
        </w:tc>
        <w:tc>
          <w:tcPr>
            <w:tcW w:type="dxa" w:w="1440"/>
          </w:tcPr>
          <w:p>
            <w:r>
              <w:rPr>
                <w:sz w:val="18"/>
              </w:rPr>
              <w:t>2070-2099</w:t>
            </w:r>
          </w:p>
        </w:tc>
        <w:tc>
          <w:tcPr>
            <w:tcW w:type="dxa" w:w="1008"/>
          </w:tcPr>
          <w:p>
            <w:r>
              <w:rPr>
                <w:sz w:val="18"/>
              </w:rPr>
              <w:t>0.984</w:t>
            </w:r>
          </w:p>
        </w:tc>
        <w:tc>
          <w:tcPr>
            <w:tcW w:type="dxa" w:w="1008"/>
          </w:tcPr>
          <w:p>
            <w:r>
              <w:rPr>
                <w:sz w:val="18"/>
              </w:rPr>
              <w:t>1.043</w:t>
            </w:r>
          </w:p>
        </w:tc>
        <w:tc>
          <w:tcPr>
            <w:tcW w:type="dxa" w:w="1008"/>
          </w:tcPr>
          <w:p>
            <w:r>
              <w:rPr>
                <w:sz w:val="18"/>
              </w:rPr>
              <w:t>-5.2</w:t>
            </w:r>
          </w:p>
        </w:tc>
        <w:tc>
          <w:tcPr>
            <w:tcW w:type="dxa" w:w="1008"/>
          </w:tcPr>
          <w:p>
            <w:r>
              <w:rPr>
                <w:sz w:val="18"/>
              </w:rPr>
              <w:t>16.2</w:t>
            </w:r>
          </w:p>
        </w:tc>
        <w:tc>
          <w:tcPr>
            <w:tcW w:type="dxa" w:w="1440"/>
          </w:tcPr>
          <w:p>
            <w:r>
              <w:rPr>
                <w:sz w:val="18"/>
              </w:rPr>
              <w:t>91</w:t>
            </w:r>
          </w:p>
        </w:tc>
      </w:tr>
    </w:tbl>
    <w:p/>
    <w:p>
      <w:r>
        <w:t>r stays between 0.984 and 0.998: the spatial pattern of M' is almost entirely inherited from New_M_2019,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67% to 91%, so the late-century high-forcing decline is both deeper and more widespread.</w:t>
      </w:r>
    </w:p>
    <w:p>
      <w:pPr>
        <w:jc w:val="center"/>
      </w:pPr>
      <w:r>
        <w:drawing>
          <wp:inline xmlns:a="http://schemas.openxmlformats.org/drawingml/2006/main" xmlns:pic="http://schemas.openxmlformats.org/drawingml/2006/picture">
            <wp:extent cx="5852160" cy="2900330"/>
            <wp:docPr id="9" name="Picture 9"/>
            <wp:cNvGraphicFramePr>
              <a:graphicFrameLocks noChangeAspect="1"/>
            </wp:cNvGraphicFramePr>
            <a:graphic>
              <a:graphicData uri="http://schemas.openxmlformats.org/drawingml/2006/picture">
                <pic:pic>
                  <pic:nvPicPr>
                    <pic:cNvPr id="0" name="fig_09_scatter_vs_New_M_2019.png"/>
                    <pic:cNvPicPr/>
                  </pic:nvPicPr>
                  <pic:blipFill>
                    <a:blip r:embed="rId17"/>
                    <a:stretch>
                      <a:fillRect/>
                    </a:stretch>
                  </pic:blipFill>
                  <pic:spPr>
                    <a:xfrm>
                      <a:off x="0" y="0"/>
                      <a:ext cx="5852160" cy="2900330"/>
                    </a:xfrm>
                    <a:prstGeom prst="rect"/>
                  </pic:spPr>
                </pic:pic>
              </a:graphicData>
            </a:graphic>
          </wp:inline>
        </w:drawing>
      </w:r>
    </w:p>
    <w:p>
      <w:pPr>
        <w:jc w:val="left"/>
      </w:pPr>
      <w:r>
        <w:rPr>
          <w:i/>
          <w:color w:val="52514E"/>
          <w:sz w:val="17"/>
        </w:rPr>
        <w:t>Figure 9. M' against New_M_2019, one hexbin per scenario-window, log density.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30,272 and 33,977 Mt DM, i.e. -1.1% (SSP245 2070-2099) to -11.9%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pPr>
        <w:jc w:val="center"/>
      </w:pPr>
      <w:r>
        <w:drawing>
          <wp:inline xmlns:a="http://schemas.openxmlformats.org/drawingml/2006/main" xmlns:pic="http://schemas.openxmlformats.org/drawingml/2006/picture">
            <wp:extent cx="5852160" cy="2199332"/>
            <wp:docPr id="10" name="Picture 10"/>
            <wp:cNvGraphicFramePr>
              <a:graphicFrameLocks noChangeAspect="1"/>
            </wp:cNvGraphicFramePr>
            <a:graphic>
              <a:graphicData uri="http://schemas.openxmlformats.org/drawingml/2006/picture">
                <pic:pic>
                  <pic:nvPicPr>
                    <pic:cNvPr id="0" name="fig_10_totals.png"/>
                    <pic:cNvPicPr/>
                  </pic:nvPicPr>
                  <pic:blipFill>
                    <a:blip r:embed="rId18"/>
                    <a:stretch>
                      <a:fillRect/>
                    </a:stretch>
                  </pic:blipFill>
                  <pic:spPr>
                    <a:xfrm>
                      <a:off x="0" y="0"/>
                      <a:ext cx="5852160" cy="2199332"/>
                    </a:xfrm>
                    <a:prstGeom prst="rect"/>
                  </pic:spPr>
                </pic:pic>
              </a:graphicData>
            </a:graphic>
          </wp:inline>
        </w:drawing>
      </w:r>
    </w:p>
    <w:p>
      <w:pPr>
        <w:jc w:val="left"/>
      </w:pPr>
      <w:r>
        <w:rPr>
          <w:i/>
          <w:color w:val="52514E"/>
          <w:sz w:val="17"/>
        </w:rPr>
        <w:t>Figure 10. National total above-ground biomass by scenario-window (a) against the New_M_2019 reference, and the same as a percentage change (b). Note the non-monotonic ordering: SSP245 2070-2099 is the mildest of the eight, which the Random_forest_CSIRO report traces to ACCESS-CM2 r4i1p1f1 rainfall and humidity rather than to the forcing level.</w:t>
      </w:r>
    </w:p>
    <w:p>
      <w:pPr>
        <w:pStyle w:val="Heading2"/>
      </w:pPr>
      <w:r>
        <w:t>Where in the distribution the change falls</w:t>
      </w:r>
    </w:p>
    <w:p>
      <w:r>
        <w:t>Cells were binned into deciles of New_M_2019 and the median change taken within each. The relative loss is deepest in the low and middle deciles - under SSP585 2070-2099 it reaches -34% in decile 2 - and shallowest in the top decile, at -6%. In absolute tonnes the ordering reverses, because the top decile holds most of the biomass. Both statements are true and they answer different questions; whichever is quoted, say which one it is.</w:t>
      </w:r>
    </w:p>
    <w:p>
      <w:pPr>
        <w:jc w:val="center"/>
      </w:pPr>
      <w:r>
        <w:drawing>
          <wp:inline xmlns:a="http://schemas.openxmlformats.org/drawingml/2006/main" xmlns:pic="http://schemas.openxmlformats.org/drawingml/2006/picture">
            <wp:extent cx="5852160" cy="2194242"/>
            <wp:docPr id="11" name="Picture 11"/>
            <wp:cNvGraphicFramePr>
              <a:graphicFrameLocks noChangeAspect="1"/>
            </wp:cNvGraphicFramePr>
            <a:graphic>
              <a:graphicData uri="http://schemas.openxmlformats.org/drawingml/2006/picture">
                <pic:pic>
                  <pic:nvPicPr>
                    <pic:cNvPr id="0" name="fig_11_change_by_decile.png"/>
                    <pic:cNvPicPr/>
                  </pic:nvPicPr>
                  <pic:blipFill>
                    <a:blip r:embed="rId19"/>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New_M_2019,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New_M_2019 reference line. The baseline bar sits exactly on the line because averaging the modelled historical years returns New_M_2019 by construction; every other bar is a projection, and all eight fall below it, from 15.0 to 19.7 t DM ha⁻¹ against 20.43.</w:t>
      </w:r>
    </w:p>
    <w:p>
      <w:r>
        <w:t>The percentages printed inside the bars are the shift in the median — median(M') against median(New_M_2019)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2" name="Picture 12"/>
            <wp:cNvGraphicFramePr>
              <a:graphicFrameLocks noChangeAspect="1"/>
            </wp:cNvGraphicFramePr>
            <a:graphic>
              <a:graphicData uri="http://schemas.openxmlformats.org/drawingml/2006/picture">
                <pic:pic>
                  <pic:nvPicPr>
                    <pic:cNvPr id="0" name="fig_13_rf_mprime_bars.png"/>
                    <pic:cNvPicPr/>
                  </pic:nvPicPr>
                  <pic:blipFill>
                    <a:blip r:embed="rId20"/>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New_M_2019.</w:t>
      </w:r>
    </w:p>
    <w:p>
      <w:pPr>
        <w:pStyle w:val="Heading2"/>
      </w:pPr>
      <w:r>
        <w:t>The two footings on one axis</w:t>
      </w:r>
    </w:p>
    <w:p>
      <w:r>
        <w:t>Figure 12 puts the footing question and the climate signal in a single panel, because they are routinely confused. The orange bars are Eq. (1) M used as written; the navy bars are M' on the matched footing. The hatched pair on the left is 1985-2014, and the dashed line is the median of New_M_2019, 20.43 t DM ha⁻¹.</w:t>
      </w:r>
    </w:p>
    <w:p>
      <w:r>
        <w:t>Read it vertically and the orange-to-navy gap is the footing: 31.87 against 20.43 t DM ha⁻¹ in the baseline pair, a factor of 1.56. That gap is arithmetic, not climate — Eq. (1) is the relationship reported in the paper, while Original_M_2004 is the layer the Richards &amp; Brack (2004) procedure produced and the one FullCAM ships. Read it horizontally and the navy bars' distance from the dashed line is the projected change, which is the only part of the figure that carries a climate signal. The navy baseline bar sits exactly on the line, as it must.</w:t>
      </w:r>
    </w:p>
    <w:p>
      <w:pPr>
        <w:jc w:val="center"/>
      </w:pPr>
      <w:r>
        <w:drawing>
          <wp:inline xmlns:a="http://schemas.openxmlformats.org/drawingml/2006/main" xmlns:pic="http://schemas.openxmlformats.org/drawingml/2006/picture">
            <wp:extent cx="5852160" cy="2482735"/>
            <wp:docPr id="13" name="Picture 13"/>
            <wp:cNvGraphicFramePr>
              <a:graphicFrameLocks noChangeAspect="1"/>
            </wp:cNvGraphicFramePr>
            <a:graphic>
              <a:graphicData uri="http://schemas.openxmlformats.org/drawingml/2006/picture">
                <pic:pic>
                  <pic:nvPicPr>
                    <pic:cNvPr id="0" name="fig_12_paired_bars.png"/>
                    <pic:cNvPicPr/>
                  </pic:nvPicPr>
                  <pic:blipFill>
                    <a:blip r:embed="rId21"/>
                    <a:stretch>
                      <a:fillRect/>
                    </a:stretch>
                  </pic:blipFill>
                  <pic:spPr>
                    <a:xfrm>
                      <a:off x="0" y="0"/>
                      <a:ext cx="5852160" cy="2482735"/>
                    </a:xfrm>
                    <a:prstGeom prst="rect"/>
                  </pic:spPr>
                </pic:pic>
              </a:graphicData>
            </a:graphic>
          </wp:inline>
        </w:drawing>
      </w:r>
    </w:p>
    <w:p>
      <w:pPr>
        <w:jc w:val="left"/>
      </w:pPr>
      <w:r>
        <w:rPr>
          <w:i/>
          <w:color w:val="52514E"/>
          <w:sz w:val="17"/>
        </w:rPr>
        <w:t>Figure 12. Median M across land cells: Eq. (1) M and matched-footing M' for each scenario-window, against the 1985-2014 baseline (hatched) and the New_M_2019 reference (dashed). Quoting an orange bar where a navy one belongs inflates M by roughly 56%.</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