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2026-09-22 · M' with every component of the ratio produced by the random forest · averaging order: mean of the annual Eq. (1) M</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The M' validated here is the PER-YEAR variant: Eq. (1) applied to each annual FPI and the results averaged, on both sides of the ratio, from FPI_Accuracy_check/output_Mprime_rf/mean_of_annual/. It is the sensitivity, not the method. The method - Eq. (1) of the window-mean FPI - is validated in the unsuffixed report, and the two agree to within 0.73% of the median ratio in every run.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Revised_M_Roxburgh ÷ Original_M_2004, and Revised_M_Roxburgh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AGB at least 1.0 Mg per m2 of basal area</w:t>
            </w:r>
          </w:p>
        </w:tc>
        <w:tc>
          <w:tcPr>
            <w:tcW w:type="dxa" w:w="1728"/>
          </w:tcPr>
          <w:p>
            <w:r>
              <w:rPr>
                <w:sz w:val="18"/>
              </w:rPr>
              <w:t>2,561</w:t>
            </w:r>
          </w:p>
        </w:tc>
      </w:tr>
      <w:tr>
        <w:tc>
          <w:tcPr>
            <w:tcW w:type="dxa" w:w="6336"/>
          </w:tcPr>
          <w:p>
            <w:r>
              <w:rPr>
                <w:sz w:val="18"/>
              </w:rPr>
              <w:t>one row per site (maximum measurement)</w:t>
            </w:r>
          </w:p>
        </w:tc>
        <w:tc>
          <w:tcPr>
            <w:tcW w:type="dxa" w:w="1728"/>
          </w:tcPr>
          <w:p>
            <w:r>
              <w:rPr>
                <w:sz w:val="18"/>
              </w:rPr>
              <w:t>1,689</w:t>
            </w:r>
          </w:p>
        </w:tc>
      </w:tr>
      <w:tr>
        <w:tc>
          <w:tcPr>
            <w:tcW w:type="dxa" w:w="6336"/>
          </w:tcPr>
          <w:p>
            <w:r>
              <w:rPr>
                <w:sz w:val="18"/>
              </w:rPr>
              <w:t>inside the NLUM mask with M' and FPI</w:t>
            </w:r>
          </w:p>
        </w:tc>
        <w:tc>
          <w:tcPr>
            <w:tcW w:type="dxa" w:w="1728"/>
          </w:tcPr>
          <w:p>
            <w:r>
              <w:rPr>
                <w:sz w:val="18"/>
              </w:rPr>
              <w:t>1,688</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273</w:t>
            </w:r>
          </w:p>
        </w:tc>
        <w:tc>
          <w:tcPr>
            <w:tcW w:type="dxa" w:w="2160"/>
          </w:tcPr>
          <w:p>
            <w:r>
              <w:rPr>
                <w:sz w:val="18"/>
              </w:rPr>
              <w:t>109.76</w:t>
            </w:r>
          </w:p>
        </w:tc>
        <w:tc>
          <w:tcPr>
            <w:tcW w:type="dxa" w:w="2016"/>
          </w:tcPr>
          <w:p>
            <w:r>
              <w:rPr>
                <w:sz w:val="18"/>
              </w:rPr>
              <w:t>37.68</w:t>
            </w:r>
          </w:p>
        </w:tc>
        <w:tc>
          <w:tcPr>
            <w:tcW w:type="dxa" w:w="1584"/>
          </w:tcPr>
          <w:p>
            <w:r>
              <w:rPr>
                <w:sz w:val="18"/>
              </w:rPr>
              <w:t>5.43</w:t>
            </w:r>
          </w:p>
        </w:tc>
      </w:tr>
      <w:tr>
        <w:tc>
          <w:tcPr>
            <w:tcW w:type="dxa" w:w="2160"/>
          </w:tcPr>
          <w:p>
            <w:r>
              <w:rPr>
                <w:sz w:val="18"/>
              </w:rPr>
              <w:t>unverified</w:t>
            </w:r>
          </w:p>
        </w:tc>
        <w:tc>
          <w:tcPr>
            <w:tcW w:type="dxa" w:w="1152"/>
          </w:tcPr>
          <w:p>
            <w:r>
              <w:rPr>
                <w:sz w:val="18"/>
              </w:rPr>
              <w:t>932</w:t>
            </w:r>
          </w:p>
        </w:tc>
        <w:tc>
          <w:tcPr>
            <w:tcW w:type="dxa" w:w="2160"/>
          </w:tcPr>
          <w:p>
            <w:r>
              <w:rPr>
                <w:sz w:val="18"/>
              </w:rPr>
              <w:t>113.07</w:t>
            </w:r>
          </w:p>
        </w:tc>
        <w:tc>
          <w:tcPr>
            <w:tcW w:type="dxa" w:w="2016"/>
          </w:tcPr>
          <w:p>
            <w:r>
              <w:rPr>
                <w:sz w:val="18"/>
              </w:rPr>
              <w:t>108.25</w:t>
            </w:r>
          </w:p>
        </w:tc>
        <w:tc>
          <w:tcPr>
            <w:tcW w:type="dxa" w:w="1584"/>
          </w:tcPr>
          <w:p>
            <w:r>
              <w:rPr>
                <w:sz w:val="18"/>
              </w:rPr>
              <w:t>7.19</w:t>
            </w:r>
          </w:p>
        </w:tc>
      </w:tr>
      <w:tr>
        <w:tc>
          <w:tcPr>
            <w:tcW w:type="dxa" w:w="2160"/>
          </w:tcPr>
          <w:p>
            <w:r>
              <w:rPr>
                <w:sz w:val="18"/>
              </w:rPr>
              <w:t>verified mature</w:t>
            </w:r>
          </w:p>
        </w:tc>
        <w:tc>
          <w:tcPr>
            <w:tcW w:type="dxa" w:w="1152"/>
          </w:tcPr>
          <w:p>
            <w:r>
              <w:rPr>
                <w:sz w:val="18"/>
              </w:rPr>
              <w:t>327</w:t>
            </w:r>
          </w:p>
        </w:tc>
        <w:tc>
          <w:tcPr>
            <w:tcW w:type="dxa" w:w="2160"/>
          </w:tcPr>
          <w:p>
            <w:r>
              <w:rPr>
                <w:sz w:val="18"/>
              </w:rPr>
              <w:t>117.51</w:t>
            </w:r>
          </w:p>
        </w:tc>
        <w:tc>
          <w:tcPr>
            <w:tcW w:type="dxa" w:w="2016"/>
          </w:tcPr>
          <w:p>
            <w:r>
              <w:rPr>
                <w:sz w:val="18"/>
              </w:rPr>
              <w:t>63.68</w:t>
            </w:r>
          </w:p>
        </w:tc>
        <w:tc>
          <w:tcPr>
            <w:tcW w:type="dxa" w:w="1584"/>
          </w:tcPr>
          <w:p>
            <w:r>
              <w:rPr>
                <w:sz w:val="18"/>
              </w:rPr>
              <w:t>6.87</w:t>
            </w:r>
          </w:p>
        </w:tc>
      </w:tr>
      <w:tr>
        <w:tc>
          <w:tcPr>
            <w:tcW w:type="dxa" w:w="2160"/>
          </w:tcPr>
          <w:p>
            <w:r>
              <w:rPr>
                <w:sz w:val="18"/>
              </w:rPr>
              <w:t>young or shrubby</w:t>
            </w:r>
          </w:p>
        </w:tc>
        <w:tc>
          <w:tcPr>
            <w:tcW w:type="dxa" w:w="1152"/>
          </w:tcPr>
          <w:p>
            <w:r>
              <w:rPr>
                <w:sz w:val="18"/>
              </w:rPr>
              <w:t>156</w:t>
            </w:r>
          </w:p>
        </w:tc>
        <w:tc>
          <w:tcPr>
            <w:tcW w:type="dxa" w:w="2160"/>
          </w:tcPr>
          <w:p>
            <w:r>
              <w:rPr>
                <w:sz w:val="18"/>
              </w:rPr>
              <w:t>87.63</w:t>
            </w:r>
          </w:p>
        </w:tc>
        <w:tc>
          <w:tcPr>
            <w:tcW w:type="dxa" w:w="2016"/>
          </w:tcPr>
          <w:p>
            <w:r>
              <w:rPr>
                <w:sz w:val="18"/>
              </w:rPr>
              <w:t>34.88</w:t>
            </w:r>
          </w:p>
        </w:tc>
        <w:tc>
          <w:tcPr>
            <w:tcW w:type="dxa" w:w="1584"/>
          </w:tcPr>
          <w:p>
            <w:r>
              <w:rPr>
                <w:sz w:val="18"/>
              </w:rPr>
              <w:t>6.01</w:t>
            </w:r>
          </w:p>
        </w:tc>
      </w:tr>
    </w:tbl>
    <w:p/>
    <w:p>
      <w:pPr>
        <w:pStyle w:val="Heading2"/>
      </w:pPr>
      <w:r>
        <w:t>Two filters that decide the sample</w:t>
      </w:r>
    </w:p>
    <w:p>
      <w:r>
        <w:t>Maturity is joined to the site record on obs_key, the survey event, and not on the site name. The name is not unique: 1,444 names in the library carry more than one survey, up to nineteen, and 197 are shared between different data sources. A join on the name therefore pools stems measured on other visits, or by another agency at another place of the same name, into the record being classified. On this sample it changes the class of only one site in 2,120, so it is a correctness fix rather than a result, but it is the join a reader should assume.</w:t>
      </w:r>
    </w:p>
    <w:p>
      <w:r>
        <w:t>The second filter does change the result. A stand cannot carry less biomass than its own basal area implies: the library's median is 7.8 Mg of above-ground biomass per square metre of live basal area, and anything below about 1 would be a five-metre stand of balsa. Two sources fail that wholesale - TERN Australia at a median of 0.08 over 51 sites, and CSIRO at 0.21 over 19. The TERN plot named Giants reports 0.60 Mg/ha of biomass against 108 square metres per hectare of live basal area and a 403 cm stem. These are corrupt biomass fields, not cleared or burnt stands, and they were the whole of the puzzle of near-zero mature sites: of the 53 mature sites under 5 Mg/ha, the median largest stem was 104 cm. Records below 1 Mg per square metre are dropped, and Step_01 writes the untouched sample to reference_table_noqc.csv so the effect can be measured rather than asserted.</w:t>
      </w:r>
    </w:p>
    <w:p>
      <w:r>
        <w:t>Dropping them removes 88 of 688 mature sites and moves every number that follows:</w:t>
      </w:r>
    </w:p>
    <w:tbl>
      <w:tblPr>
        <w:tblStyle w:val="LightGrid-Accent1"/>
        <w:tblW w:type="auto" w:w="0"/>
        <w:tblLook w:firstColumn="1" w:firstRow="1" w:lastColumn="0" w:lastRow="0" w:noHBand="0" w:noVBand="1" w:val="04A0"/>
      </w:tblPr>
      <w:tblGrid>
        <w:gridCol w:w="2880"/>
        <w:gridCol w:w="2880"/>
        <w:gridCol w:w="2880"/>
      </w:tblGrid>
      <w:tr>
        <w:tc>
          <w:tcPr>
            <w:tcW w:type="dxa" w:w="4032"/>
          </w:tcPr>
          <w:p>
            <w:r>
              <w:rPr>
                <w:b/>
                <w:sz w:val="18"/>
              </w:rPr>
            </w:r>
          </w:p>
        </w:tc>
        <w:tc>
          <w:tcPr>
            <w:tcW w:type="dxa" w:w="2160"/>
          </w:tcPr>
          <w:p>
            <w:r>
              <w:rPr>
                <w:b/>
                <w:sz w:val="18"/>
              </w:rPr>
              <w:t>before the filter</w:t>
            </w:r>
          </w:p>
        </w:tc>
        <w:tc>
          <w:tcPr>
            <w:tcW w:type="dxa" w:w="1728"/>
          </w:tcPr>
          <w:p>
            <w:r>
              <w:rPr>
                <w:b/>
                <w:sz w:val="18"/>
              </w:rPr>
              <w:t>after</w:t>
            </w:r>
          </w:p>
        </w:tc>
      </w:tr>
      <w:tr>
        <w:tc>
          <w:tcPr>
            <w:tcW w:type="dxa" w:w="4032"/>
          </w:tcPr>
          <w:p>
            <w:r>
              <w:rPr>
                <w:sz w:val="18"/>
              </w:rPr>
              <w:t>mature sites</w:t>
            </w:r>
          </w:p>
        </w:tc>
        <w:tc>
          <w:tcPr>
            <w:tcW w:type="dxa" w:w="2160"/>
          </w:tcPr>
          <w:p>
            <w:r>
              <w:rPr>
                <w:sz w:val="18"/>
              </w:rPr>
              <w:t>688</w:t>
            </w:r>
          </w:p>
        </w:tc>
        <w:tc>
          <w:tcPr>
            <w:tcW w:type="dxa" w:w="1728"/>
          </w:tcPr>
          <w:p>
            <w:r>
              <w:rPr>
                <w:sz w:val="18"/>
              </w:rPr>
              <w:t>600</w:t>
            </w:r>
          </w:p>
        </w:tc>
      </w:tr>
      <w:tr>
        <w:tc>
          <w:tcPr>
            <w:tcW w:type="dxa" w:w="4032"/>
          </w:tcPr>
          <w:p>
            <w:r>
              <w:rPr>
                <w:sz w:val="18"/>
              </w:rPr>
              <w:t>median observed AGB (Mg/ha)</w:t>
            </w:r>
          </w:p>
        </w:tc>
        <w:tc>
          <w:tcPr>
            <w:tcW w:type="dxa" w:w="2160"/>
          </w:tcPr>
          <w:p>
            <w:r>
              <w:rPr>
                <w:sz w:val="18"/>
              </w:rPr>
              <w:t>83.0</w:t>
            </w:r>
          </w:p>
        </w:tc>
        <w:tc>
          <w:tcPr>
            <w:tcW w:type="dxa" w:w="1728"/>
          </w:tcPr>
          <w:p>
            <w:r>
              <w:rPr>
                <w:sz w:val="18"/>
              </w:rPr>
              <w:t>112.4</w:t>
            </w:r>
          </w:p>
        </w:tc>
      </w:tr>
      <w:tr>
        <w:tc>
          <w:tcPr>
            <w:tcW w:type="dxa" w:w="4032"/>
          </w:tcPr>
          <w:p>
            <w:r>
              <w:rPr>
                <w:sz w:val="18"/>
              </w:rPr>
              <w:t>median ratio, site's own cell today</w:t>
            </w:r>
          </w:p>
        </w:tc>
        <w:tc>
          <w:tcPr>
            <w:tcW w:type="dxa" w:w="2160"/>
          </w:tcPr>
          <w:p>
            <w:r>
              <w:rPr>
                <w:sz w:val="18"/>
              </w:rPr>
              <w:t>0.611</w:t>
            </w:r>
          </w:p>
        </w:tc>
        <w:tc>
          <w:tcPr>
            <w:tcW w:type="dxa" w:w="1728"/>
          </w:tcPr>
          <w:p>
            <w:r>
              <w:rPr>
                <w:sz w:val="18"/>
              </w:rPr>
              <w:t>0.494</w:t>
            </w:r>
          </w:p>
        </w:tc>
      </w:tr>
      <w:tr>
        <w:tc>
          <w:tcPr>
            <w:tcW w:type="dxa" w:w="4032"/>
          </w:tcPr>
          <w:p>
            <w:r>
              <w:rPr>
                <w:sz w:val="18"/>
              </w:rPr>
              <w:t>Spearman rho, site's own cell today</w:t>
            </w:r>
          </w:p>
        </w:tc>
        <w:tc>
          <w:tcPr>
            <w:tcW w:type="dxa" w:w="2160"/>
          </w:tcPr>
          <w:p>
            <w:r>
              <w:rPr>
                <w:sz w:val="18"/>
              </w:rPr>
              <w:t>0.070</w:t>
            </w:r>
          </w:p>
        </w:tc>
        <w:tc>
          <w:tcPr>
            <w:tcW w:type="dxa" w:w="1728"/>
          </w:tcPr>
          <w:p>
            <w:r>
              <w:rPr>
                <w:sz w:val="18"/>
              </w:rPr>
              <w:t>0.418</w:t>
            </w:r>
          </w:p>
        </w:tc>
      </w:tr>
      <w:tr>
        <w:tc>
          <w:tcPr>
            <w:tcW w:type="dxa" w:w="4032"/>
          </w:tcPr>
          <w:p>
            <w:r>
              <w:rPr>
                <w:sz w:val="18"/>
              </w:rPr>
              <w:t>Spearman rho, SSP126 2035-2064</w:t>
            </w:r>
          </w:p>
        </w:tc>
        <w:tc>
          <w:tcPr>
            <w:tcW w:type="dxa" w:w="2160"/>
          </w:tcPr>
          <w:p>
            <w:r>
              <w:rPr>
                <w:sz w:val="18"/>
              </w:rPr>
              <w:t>0.036</w:t>
            </w:r>
          </w:p>
        </w:tc>
        <w:tc>
          <w:tcPr>
            <w:tcW w:type="dxa" w:w="1728"/>
          </w:tcPr>
          <w:p>
            <w:r>
              <w:rPr>
                <w:sz w:val="18"/>
              </w:rPr>
              <w:t>0.274</w:t>
            </w:r>
          </w:p>
        </w:tc>
      </w:tr>
    </w:tbl>
    <w:p/>
    <w:p>
      <w:r>
        <w:t>The ratio moves away from 1 and the rank correlation improves roughly sixfold. Both are the same fact: the discarded records contributed biomass values unrelated to the stands they described, which depressed the observed median and added pure noise to the ranking. The cleaned numbers are worse-looking on the ratio and far better on the correlation, and the correlation is the one that measures skill.</w:t>
      </w:r>
    </w:p>
    <w:p>
      <w:r>
        <w:t>Figure 1 shows the sample the whole test rests on. Panel (a) plots each surviving site at its longitude and latitude, coloured by maturity class, with the marker area scaled to the observed biomass so that the heavy sites are visible without a second axis. Panel (b) is the distribution of that biomass. Neither panel is a result; they are here so that the coverage and the spread of the reference set can be judged before any statistic computed from it is read. What to look for is the geography: the sites cluster along the forested east, the south-west and Tasmania, and the arid interior is almost unsampled, so conclusions drawn here do not extend there.</w:t>
      </w:r>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_mean_of_annual.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2"/>
      </w:pPr>
      <w:r>
        <w:t>Where FPI enters, and where it deliberately does not</w:t>
      </w:r>
    </w:p>
    <w:p>
      <w:r>
        <w:t>FPI has three distinct roles here, and they are easy to conflate.</w:t>
      </w:r>
    </w:p>
    <w:p>
      <w:pPr>
        <w:pStyle w:val="ListBullet"/>
      </w:pPr>
      <w:r>
        <w:t>It is inside the quantity being tested. M' is Eq. (1) of the modelled FPI, rescaled by lambda and Original_M_2004, so FPI drives everything the comparison judges.</w:t>
      </w:r>
    </w:p>
    <w:p>
      <w:pPr>
        <w:pStyle w:val="ListBullet"/>
      </w:pPr>
      <w:r>
        <w:t>It is carried as a column and used for one control. The reference table holds fpi_hist, the forest's modelled 1985-2014 mean FPI at each site; the future tables hold the projected window-mean FPI; and every match records the FPI of the cell it was matched to. fpi_hist also feeds the Eq. (1)-footing control, which is how the 1.22 figure in the gate section is produced.</w:t>
      </w:r>
    </w:p>
    <w:p>
      <w:pPr>
        <w:pStyle w:val="ListBullet"/>
      </w:pPr>
      <w:r>
        <w:t>It is NOT a matching variable, on purpose. The match runs on the 174 random-forest predictors - 83 soil bands and 91 climate features - never on FPI itself.</w:t>
      </w:r>
    </w:p>
    <w:p>
      <w:r>
        <w:t>The third point is the one that decides what this test is worth. M' is a deterministic function of FPI through Eq. (1) and lambda, so matching sites to cells on FPI would pair each site with a cell that already carries almost the same M' by construction, and the exercise would collapse into a restatement of the present-day gate. Matching on climate and soil instead exercises the whole chain: whether the forest turns a future climate into a sensible FPI, whether Eq. (1) turns that FPI into a sensible biomass, and whether lambda transports the result onto the footing FullCAM reads. FPI is what is being tested, not what the test matches on.</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4.3%</w:t>
            </w:r>
          </w:p>
        </w:tc>
        <w:tc>
          <w:tcPr>
            <w:tcW w:type="dxa" w:w="1440"/>
          </w:tcPr>
          <w:p>
            <w:r>
              <w:rPr>
                <w:sz w:val="18"/>
              </w:rPr>
              <w:t>600</w:t>
            </w:r>
          </w:p>
        </w:tc>
      </w:tr>
      <w:tr>
        <w:tc>
          <w:tcPr>
            <w:tcW w:type="dxa" w:w="3456"/>
          </w:tcPr>
          <w:p>
            <w:r>
              <w:rPr>
                <w:sz w:val="18"/>
              </w:rPr>
              <w:t>random cells (null)</w:t>
            </w:r>
          </w:p>
        </w:tc>
        <w:tc>
          <w:tcPr>
            <w:tcW w:type="dxa" w:w="1728"/>
          </w:tcPr>
          <w:p>
            <w:r>
              <w:rPr>
                <w:sz w:val="18"/>
              </w:rPr>
              <w:t>0.0%</w:t>
            </w:r>
          </w:p>
        </w:tc>
        <w:tc>
          <w:tcPr>
            <w:tcW w:type="dxa" w:w="1440"/>
          </w:tcPr>
          <w:p>
            <w:r>
              <w:rPr>
                <w:sz w:val="18"/>
              </w:rPr>
              <w:t>600</w:t>
            </w:r>
          </w:p>
        </w:tc>
      </w:tr>
      <w:tr>
        <w:tc>
          <w:tcPr>
            <w:tcW w:type="dxa" w:w="3456"/>
          </w:tcPr>
          <w:p>
            <w:r>
              <w:rPr>
                <w:sz w:val="18"/>
              </w:rPr>
              <w:t>SSP126 2035-2064</w:t>
            </w:r>
          </w:p>
        </w:tc>
        <w:tc>
          <w:tcPr>
            <w:tcW w:type="dxa" w:w="1728"/>
          </w:tcPr>
          <w:p>
            <w:r>
              <w:rPr>
                <w:sz w:val="18"/>
              </w:rPr>
              <w:t>8.3%</w:t>
            </w:r>
          </w:p>
        </w:tc>
        <w:tc>
          <w:tcPr>
            <w:tcW w:type="dxa" w:w="1440"/>
          </w:tcPr>
          <w:p>
            <w:r>
              <w:rPr>
                <w:sz w:val="18"/>
              </w:rPr>
              <w:t>600</w:t>
            </w:r>
          </w:p>
        </w:tc>
      </w:tr>
      <w:tr>
        <w:tc>
          <w:tcPr>
            <w:tcW w:type="dxa" w:w="3456"/>
          </w:tcPr>
          <w:p>
            <w:r>
              <w:rPr>
                <w:sz w:val="18"/>
              </w:rPr>
              <w:t>SSP126 2070-2099</w:t>
            </w:r>
          </w:p>
        </w:tc>
        <w:tc>
          <w:tcPr>
            <w:tcW w:type="dxa" w:w="1728"/>
          </w:tcPr>
          <w:p>
            <w:r>
              <w:rPr>
                <w:sz w:val="18"/>
              </w:rPr>
              <w:t>10.8%</w:t>
            </w:r>
          </w:p>
        </w:tc>
        <w:tc>
          <w:tcPr>
            <w:tcW w:type="dxa" w:w="1440"/>
          </w:tcPr>
          <w:p>
            <w:r>
              <w:rPr>
                <w:sz w:val="18"/>
              </w:rPr>
              <w:t>600</w:t>
            </w:r>
          </w:p>
        </w:tc>
      </w:tr>
      <w:tr>
        <w:tc>
          <w:tcPr>
            <w:tcW w:type="dxa" w:w="3456"/>
          </w:tcPr>
          <w:p>
            <w:r>
              <w:rPr>
                <w:sz w:val="18"/>
              </w:rPr>
              <w:t>SSP245 2035-2064</w:t>
            </w:r>
          </w:p>
        </w:tc>
        <w:tc>
          <w:tcPr>
            <w:tcW w:type="dxa" w:w="1728"/>
          </w:tcPr>
          <w:p>
            <w:r>
              <w:rPr>
                <w:sz w:val="18"/>
              </w:rPr>
              <w:t>9.7%</w:t>
            </w:r>
          </w:p>
        </w:tc>
        <w:tc>
          <w:tcPr>
            <w:tcW w:type="dxa" w:w="1440"/>
          </w:tcPr>
          <w:p>
            <w:r>
              <w:rPr>
                <w:sz w:val="18"/>
              </w:rPr>
              <w:t>600</w:t>
            </w:r>
          </w:p>
        </w:tc>
      </w:tr>
      <w:tr>
        <w:tc>
          <w:tcPr>
            <w:tcW w:type="dxa" w:w="3456"/>
          </w:tcPr>
          <w:p>
            <w:r>
              <w:rPr>
                <w:sz w:val="18"/>
              </w:rPr>
              <w:t>SSP245 2070-2099</w:t>
            </w:r>
          </w:p>
        </w:tc>
        <w:tc>
          <w:tcPr>
            <w:tcW w:type="dxa" w:w="1728"/>
          </w:tcPr>
          <w:p>
            <w:r>
              <w:rPr>
                <w:sz w:val="18"/>
              </w:rPr>
              <w:t>52.2%</w:t>
            </w:r>
          </w:p>
        </w:tc>
        <w:tc>
          <w:tcPr>
            <w:tcW w:type="dxa" w:w="1440"/>
          </w:tcPr>
          <w:p>
            <w:r>
              <w:rPr>
                <w:sz w:val="18"/>
              </w:rPr>
              <w:t>600</w:t>
            </w:r>
          </w:p>
        </w:tc>
      </w:tr>
      <w:tr>
        <w:tc>
          <w:tcPr>
            <w:tcW w:type="dxa" w:w="3456"/>
          </w:tcPr>
          <w:p>
            <w:r>
              <w:rPr>
                <w:sz w:val="18"/>
              </w:rPr>
              <w:t>SSP370 2035-2064</w:t>
            </w:r>
          </w:p>
        </w:tc>
        <w:tc>
          <w:tcPr>
            <w:tcW w:type="dxa" w:w="1728"/>
          </w:tcPr>
          <w:p>
            <w:r>
              <w:rPr>
                <w:sz w:val="18"/>
              </w:rPr>
              <w:t>13.7%</w:t>
            </w:r>
          </w:p>
        </w:tc>
        <w:tc>
          <w:tcPr>
            <w:tcW w:type="dxa" w:w="1440"/>
          </w:tcPr>
          <w:p>
            <w:r>
              <w:rPr>
                <w:sz w:val="18"/>
              </w:rPr>
              <w:t>600</w:t>
            </w:r>
          </w:p>
        </w:tc>
      </w:tr>
      <w:tr>
        <w:tc>
          <w:tcPr>
            <w:tcW w:type="dxa" w:w="3456"/>
          </w:tcPr>
          <w:p>
            <w:r>
              <w:rPr>
                <w:sz w:val="18"/>
              </w:rPr>
              <w:t>SSP370 2070-2099</w:t>
            </w:r>
          </w:p>
        </w:tc>
        <w:tc>
          <w:tcPr>
            <w:tcW w:type="dxa" w:w="1728"/>
          </w:tcPr>
          <w:p>
            <w:r>
              <w:rPr>
                <w:sz w:val="18"/>
              </w:rPr>
              <w:t>89.7%</w:t>
            </w:r>
          </w:p>
        </w:tc>
        <w:tc>
          <w:tcPr>
            <w:tcW w:type="dxa" w:w="1440"/>
          </w:tcPr>
          <w:p>
            <w:r>
              <w:rPr>
                <w:sz w:val="18"/>
              </w:rPr>
              <w:t>600</w:t>
            </w:r>
          </w:p>
        </w:tc>
      </w:tr>
      <w:tr>
        <w:tc>
          <w:tcPr>
            <w:tcW w:type="dxa" w:w="3456"/>
          </w:tcPr>
          <w:p>
            <w:r>
              <w:rPr>
                <w:sz w:val="18"/>
              </w:rPr>
              <w:t>SSP585 2035-2064</w:t>
            </w:r>
          </w:p>
        </w:tc>
        <w:tc>
          <w:tcPr>
            <w:tcW w:type="dxa" w:w="1728"/>
          </w:tcPr>
          <w:p>
            <w:r>
              <w:rPr>
                <w:sz w:val="18"/>
              </w:rPr>
              <w:t>18.5%</w:t>
            </w:r>
          </w:p>
        </w:tc>
        <w:tc>
          <w:tcPr>
            <w:tcW w:type="dxa" w:w="1440"/>
          </w:tcPr>
          <w:p>
            <w:r>
              <w:rPr>
                <w:sz w:val="18"/>
              </w:rPr>
              <w:t>600</w:t>
            </w:r>
          </w:p>
        </w:tc>
      </w:tr>
      <w:tr>
        <w:tc>
          <w:tcPr>
            <w:tcW w:type="dxa" w:w="3456"/>
          </w:tcPr>
          <w:p>
            <w:r>
              <w:rPr>
                <w:sz w:val="18"/>
              </w:rPr>
              <w:t>SSP585 2070-2099</w:t>
            </w:r>
          </w:p>
        </w:tc>
        <w:tc>
          <w:tcPr>
            <w:tcW w:type="dxa" w:w="1728"/>
          </w:tcPr>
          <w:p>
            <w:r>
              <w:rPr>
                <w:sz w:val="18"/>
              </w:rPr>
              <w:t>97.5%</w:t>
            </w:r>
          </w:p>
        </w:tc>
        <w:tc>
          <w:tcPr>
            <w:tcW w:type="dxa" w:w="1440"/>
          </w:tcPr>
          <w:p>
            <w:r>
              <w:rPr>
                <w:sz w:val="18"/>
              </w:rPr>
              <w:t>600</w:t>
            </w:r>
          </w:p>
        </w:tc>
      </w:tr>
    </w:tbl>
    <w:p/>
    <w:p>
      <w:r>
        <w:t>Figure 3 asks whether the matching worked before any biomass is compared. Panel (a) is the distance, in the standardised principal component space, between each site and the cell chosen for it: the grey histogram is the present-day control, the blue one the eight future runs pooled. Panel (b) counts, per run, the sites whose nearest candidate is further away than the 99th percentile of the distance between historical cells — the no-analogue flag. Panel (c) is the great-circle distance from the site to its analogue in kilometres, a diagnostic rather than a criterion, since a good climate analogue may legitimately sit far away.</w:t>
      </w:r>
    </w:p>
    <w:p>
      <w:r>
        <w:t>How to read it: the blue histogram sitting to the right of the grey one means future climates are harder to match than present-day ones, which is expected and is the point of the exercise. Panel (b) is the one to check before quoting any late-century run.</w:t>
      </w:r>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_mean_of_annual.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0.49 (95% CI 0.44-0.54), Spearman ρ 0.42, 34% of sites within a factor of two, n = 600. M' sits below observed biomass at the median, which immaturity cannot explain and which needs investigating before the space-for-time result is used.</w:t>
      </w:r>
    </w:p>
    <w:p>
      <w:r>
        <w:t>Figure 2 is the gate, and it involves no matching at all. Panel (a) plots, for each site, the biomass measured in the field on the x axis against the M' of the 1 km cell the site falls in on the y axis, with the 1:1 line dashed. Panel (b) is the same information as the distribution of M' divided by observed AGB, with the median marked. Both axes are linear and clipped just above the bulk of the data; the sites beyond the cut are counted on the panel rather than hidden.</w:t>
      </w:r>
    </w:p>
    <w:p>
      <w:r>
        <w:t>How to read it: because M' is a maximum and a field measurement is one stand at one moment, the ratio should sit ABOVE 1 for a well-behaved layer. A median below 1 cannot be explained by stand immaturity, which is why this panel decides how much weight the rest of the report can carry. The vertical smear at low observed AGB is the scale mismatch: a sub-hectare plot with little biomass inside a 1 km cell whose potential is high.</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_mean_of_annual.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AGB against M' at the same cell, linear axes clipped just above the bulk of the data, 1:1 dashed, with n, median ratio, Spearman rho, the share within a factor of two and RMSE on the panel. Right: the distribution of the ratio, cut at 6 with the number of sites beyond it stated.</w:t>
      </w:r>
    </w:p>
    <w:p>
      <w:pPr>
        <w:pStyle w:val="Heading2"/>
      </w:pPr>
      <w:r>
        <w:t>Controls, and which null is the fair one</w:t>
      </w:r>
    </w:p>
    <w:p>
      <w:r>
        <w:t>Three runs bracket what the method can do before any future is involved. Matching a site to a present-day analogue gives a median ratio of 0.49 with Spearman rho 0.30 - that is the matching method's own error, and the future runs should be read against it rather than against 1. The null is random cells drawn under the same NVIS constraint: 0.45 and rho 0.20.</w:t>
      </w:r>
    </w:p>
    <w:p>
      <w:r>
        <w:t>The constraint on the null is not a detail. Drawing the random cells without it gives a ratio near 0.21 and rho near 0.03, against which the analogue search looks decisive - but almost all of that gap is the vegetation constraint doing its work, not the climate matching. A random cell anywhere in Australia is usually the wrong vegetation type entirely, and beating it demonstrates nothing. Quoted honestly, the analogue search improves on its fair null from rho 0.20 to about 0.27 and from a ratio of 0.45 to about 0.46: a real gain, and a modest one. The unconstrained figure is reported in this folder for completeness and should not be used as evidence of skill.</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550</w:t>
            </w:r>
          </w:p>
        </w:tc>
        <w:tc>
          <w:tcPr>
            <w:tcW w:type="dxa" w:w="1440"/>
          </w:tcPr>
          <w:p>
            <w:r>
              <w:rPr>
                <w:sz w:val="18"/>
              </w:rPr>
              <w:t>0.46</w:t>
            </w:r>
          </w:p>
        </w:tc>
        <w:tc>
          <w:tcPr>
            <w:tcW w:type="dxa" w:w="1584"/>
          </w:tcPr>
          <w:p>
            <w:r>
              <w:rPr>
                <w:sz w:val="18"/>
              </w:rPr>
              <w:t>0.39-0.56</w:t>
            </w:r>
          </w:p>
        </w:tc>
        <w:tc>
          <w:tcPr>
            <w:tcW w:type="dxa" w:w="1296"/>
          </w:tcPr>
          <w:p>
            <w:r>
              <w:rPr>
                <w:sz w:val="18"/>
              </w:rPr>
              <w:t>0.27</w:t>
            </w:r>
          </w:p>
        </w:tc>
        <w:tc>
          <w:tcPr>
            <w:tcW w:type="dxa" w:w="1296"/>
          </w:tcPr>
          <w:p>
            <w:r>
              <w:rPr>
                <w:sz w:val="18"/>
              </w:rPr>
              <w:t>-0.17</w:t>
            </w:r>
          </w:p>
        </w:tc>
        <w:tc>
          <w:tcPr>
            <w:tcW w:type="dxa" w:w="1296"/>
          </w:tcPr>
          <w:p>
            <w:r>
              <w:rPr>
                <w:sz w:val="18"/>
              </w:rPr>
              <w:t>31</w:t>
            </w:r>
          </w:p>
        </w:tc>
      </w:tr>
      <w:tr>
        <w:tc>
          <w:tcPr>
            <w:tcW w:type="dxa" w:w="1296"/>
          </w:tcPr>
          <w:p>
            <w:r>
              <w:rPr>
                <w:sz w:val="18"/>
              </w:rPr>
              <w:t>SSP245</w:t>
            </w:r>
          </w:p>
        </w:tc>
        <w:tc>
          <w:tcPr>
            <w:tcW w:type="dxa" w:w="1440"/>
          </w:tcPr>
          <w:p>
            <w:r>
              <w:rPr>
                <w:sz w:val="18"/>
              </w:rPr>
              <w:t>2035-2064</w:t>
            </w:r>
          </w:p>
        </w:tc>
        <w:tc>
          <w:tcPr>
            <w:tcW w:type="dxa" w:w="864"/>
          </w:tcPr>
          <w:p>
            <w:r>
              <w:rPr>
                <w:sz w:val="18"/>
              </w:rPr>
              <w:t>542</w:t>
            </w:r>
          </w:p>
        </w:tc>
        <w:tc>
          <w:tcPr>
            <w:tcW w:type="dxa" w:w="1440"/>
          </w:tcPr>
          <w:p>
            <w:r>
              <w:rPr>
                <w:sz w:val="18"/>
              </w:rPr>
              <w:t>0.47</w:t>
            </w:r>
          </w:p>
        </w:tc>
        <w:tc>
          <w:tcPr>
            <w:tcW w:type="dxa" w:w="1584"/>
          </w:tcPr>
          <w:p>
            <w:r>
              <w:rPr>
                <w:sz w:val="18"/>
              </w:rPr>
              <w:t>0.39-0.55</w:t>
            </w:r>
          </w:p>
        </w:tc>
        <w:tc>
          <w:tcPr>
            <w:tcW w:type="dxa" w:w="1296"/>
          </w:tcPr>
          <w:p>
            <w:r>
              <w:rPr>
                <w:sz w:val="18"/>
              </w:rPr>
              <w:t>0.27</w:t>
            </w:r>
          </w:p>
        </w:tc>
        <w:tc>
          <w:tcPr>
            <w:tcW w:type="dxa" w:w="1296"/>
          </w:tcPr>
          <w:p>
            <w:r>
              <w:rPr>
                <w:sz w:val="18"/>
              </w:rPr>
              <w:t>-0.18</w:t>
            </w:r>
          </w:p>
        </w:tc>
        <w:tc>
          <w:tcPr>
            <w:tcW w:type="dxa" w:w="1296"/>
          </w:tcPr>
          <w:p>
            <w:r>
              <w:rPr>
                <w:sz w:val="18"/>
              </w:rPr>
              <w:t>30</w:t>
            </w:r>
          </w:p>
        </w:tc>
      </w:tr>
      <w:tr>
        <w:tc>
          <w:tcPr>
            <w:tcW w:type="dxa" w:w="1296"/>
          </w:tcPr>
          <w:p>
            <w:r>
              <w:rPr>
                <w:sz w:val="18"/>
              </w:rPr>
              <w:t>SSP370</w:t>
            </w:r>
          </w:p>
        </w:tc>
        <w:tc>
          <w:tcPr>
            <w:tcW w:type="dxa" w:w="1440"/>
          </w:tcPr>
          <w:p>
            <w:r>
              <w:rPr>
                <w:sz w:val="18"/>
              </w:rPr>
              <w:t>2035-2064</w:t>
            </w:r>
          </w:p>
        </w:tc>
        <w:tc>
          <w:tcPr>
            <w:tcW w:type="dxa" w:w="864"/>
          </w:tcPr>
          <w:p>
            <w:r>
              <w:rPr>
                <w:sz w:val="18"/>
              </w:rPr>
              <w:t>518</w:t>
            </w:r>
          </w:p>
        </w:tc>
        <w:tc>
          <w:tcPr>
            <w:tcW w:type="dxa" w:w="1440"/>
          </w:tcPr>
          <w:p>
            <w:r>
              <w:rPr>
                <w:sz w:val="18"/>
              </w:rPr>
              <w:t>0.46</w:t>
            </w:r>
          </w:p>
        </w:tc>
        <w:tc>
          <w:tcPr>
            <w:tcW w:type="dxa" w:w="1584"/>
          </w:tcPr>
          <w:p>
            <w:r>
              <w:rPr>
                <w:sz w:val="18"/>
              </w:rPr>
              <w:t>0.39-0.55</w:t>
            </w:r>
          </w:p>
        </w:tc>
        <w:tc>
          <w:tcPr>
            <w:tcW w:type="dxa" w:w="1296"/>
          </w:tcPr>
          <w:p>
            <w:r>
              <w:rPr>
                <w:sz w:val="18"/>
              </w:rPr>
              <w:t>0.27</w:t>
            </w:r>
          </w:p>
        </w:tc>
        <w:tc>
          <w:tcPr>
            <w:tcW w:type="dxa" w:w="1296"/>
          </w:tcPr>
          <w:p>
            <w:r>
              <w:rPr>
                <w:sz w:val="18"/>
              </w:rPr>
              <w:t>-0.20</w:t>
            </w:r>
          </w:p>
        </w:tc>
        <w:tc>
          <w:tcPr>
            <w:tcW w:type="dxa" w:w="1296"/>
          </w:tcPr>
          <w:p>
            <w:r>
              <w:rPr>
                <w:sz w:val="18"/>
              </w:rPr>
              <w:t>31</w:t>
            </w:r>
          </w:p>
        </w:tc>
      </w:tr>
      <w:tr>
        <w:tc>
          <w:tcPr>
            <w:tcW w:type="dxa" w:w="1296"/>
          </w:tcPr>
          <w:p>
            <w:r>
              <w:rPr>
                <w:sz w:val="18"/>
              </w:rPr>
              <w:t>SSP585</w:t>
            </w:r>
          </w:p>
        </w:tc>
        <w:tc>
          <w:tcPr>
            <w:tcW w:type="dxa" w:w="1440"/>
          </w:tcPr>
          <w:p>
            <w:r>
              <w:rPr>
                <w:sz w:val="18"/>
              </w:rPr>
              <w:t>2035-2064</w:t>
            </w:r>
          </w:p>
        </w:tc>
        <w:tc>
          <w:tcPr>
            <w:tcW w:type="dxa" w:w="864"/>
          </w:tcPr>
          <w:p>
            <w:r>
              <w:rPr>
                <w:sz w:val="18"/>
              </w:rPr>
              <w:t>489</w:t>
            </w:r>
          </w:p>
        </w:tc>
        <w:tc>
          <w:tcPr>
            <w:tcW w:type="dxa" w:w="1440"/>
          </w:tcPr>
          <w:p>
            <w:r>
              <w:rPr>
                <w:sz w:val="18"/>
              </w:rPr>
              <w:t>0.43</w:t>
            </w:r>
          </w:p>
        </w:tc>
        <w:tc>
          <w:tcPr>
            <w:tcW w:type="dxa" w:w="1584"/>
          </w:tcPr>
          <w:p>
            <w:r>
              <w:rPr>
                <w:sz w:val="18"/>
              </w:rPr>
              <w:t>0.35-0.53</w:t>
            </w:r>
          </w:p>
        </w:tc>
        <w:tc>
          <w:tcPr>
            <w:tcW w:type="dxa" w:w="1296"/>
          </w:tcPr>
          <w:p>
            <w:r>
              <w:rPr>
                <w:sz w:val="18"/>
              </w:rPr>
              <w:t>0.24</w:t>
            </w:r>
          </w:p>
        </w:tc>
        <w:tc>
          <w:tcPr>
            <w:tcW w:type="dxa" w:w="1296"/>
          </w:tcPr>
          <w:p>
            <w:r>
              <w:rPr>
                <w:sz w:val="18"/>
              </w:rPr>
              <w:t>-0.22</w:t>
            </w:r>
          </w:p>
        </w:tc>
        <w:tc>
          <w:tcPr>
            <w:tcW w:type="dxa" w:w="1296"/>
          </w:tcPr>
          <w:p>
            <w:r>
              <w:rPr>
                <w:sz w:val="18"/>
              </w:rPr>
              <w:t>30</w:t>
            </w:r>
          </w:p>
        </w:tc>
      </w:tr>
      <w:tr>
        <w:tc>
          <w:tcPr>
            <w:tcW w:type="dxa" w:w="1296"/>
          </w:tcPr>
          <w:p>
            <w:r>
              <w:rPr>
                <w:sz w:val="18"/>
              </w:rPr>
              <w:t>SSP126</w:t>
            </w:r>
          </w:p>
        </w:tc>
        <w:tc>
          <w:tcPr>
            <w:tcW w:type="dxa" w:w="1440"/>
          </w:tcPr>
          <w:p>
            <w:r>
              <w:rPr>
                <w:sz w:val="18"/>
              </w:rPr>
              <w:t>2070-2099</w:t>
            </w:r>
          </w:p>
        </w:tc>
        <w:tc>
          <w:tcPr>
            <w:tcW w:type="dxa" w:w="864"/>
          </w:tcPr>
          <w:p>
            <w:r>
              <w:rPr>
                <w:sz w:val="18"/>
              </w:rPr>
              <w:t>535</w:t>
            </w:r>
          </w:p>
        </w:tc>
        <w:tc>
          <w:tcPr>
            <w:tcW w:type="dxa" w:w="1440"/>
          </w:tcPr>
          <w:p>
            <w:r>
              <w:rPr>
                <w:sz w:val="18"/>
              </w:rPr>
              <w:t>0.44</w:t>
            </w:r>
          </w:p>
        </w:tc>
        <w:tc>
          <w:tcPr>
            <w:tcW w:type="dxa" w:w="1584"/>
          </w:tcPr>
          <w:p>
            <w:r>
              <w:rPr>
                <w:sz w:val="18"/>
              </w:rPr>
              <w:t>0.37-0.52</w:t>
            </w:r>
          </w:p>
        </w:tc>
        <w:tc>
          <w:tcPr>
            <w:tcW w:type="dxa" w:w="1296"/>
          </w:tcPr>
          <w:p>
            <w:r>
              <w:rPr>
                <w:sz w:val="18"/>
              </w:rPr>
              <w:t>0.23</w:t>
            </w:r>
          </w:p>
        </w:tc>
        <w:tc>
          <w:tcPr>
            <w:tcW w:type="dxa" w:w="1296"/>
          </w:tcPr>
          <w:p>
            <w:r>
              <w:rPr>
                <w:sz w:val="18"/>
              </w:rPr>
              <w:t>-0.25</w:t>
            </w:r>
          </w:p>
        </w:tc>
        <w:tc>
          <w:tcPr>
            <w:tcW w:type="dxa" w:w="1296"/>
          </w:tcPr>
          <w:p>
            <w:r>
              <w:rPr>
                <w:sz w:val="18"/>
              </w:rPr>
              <w:t>29</w:t>
            </w:r>
          </w:p>
        </w:tc>
      </w:tr>
      <w:tr>
        <w:tc>
          <w:tcPr>
            <w:tcW w:type="dxa" w:w="1296"/>
          </w:tcPr>
          <w:p>
            <w:r>
              <w:rPr>
                <w:sz w:val="18"/>
              </w:rPr>
              <w:t>SSP245</w:t>
            </w:r>
          </w:p>
        </w:tc>
        <w:tc>
          <w:tcPr>
            <w:tcW w:type="dxa" w:w="1440"/>
          </w:tcPr>
          <w:p>
            <w:r>
              <w:rPr>
                <w:sz w:val="18"/>
              </w:rPr>
              <w:t>2070-2099</w:t>
            </w:r>
          </w:p>
        </w:tc>
        <w:tc>
          <w:tcPr>
            <w:tcW w:type="dxa" w:w="864"/>
          </w:tcPr>
          <w:p>
            <w:r>
              <w:rPr>
                <w:sz w:val="18"/>
              </w:rPr>
              <w:t>287</w:t>
            </w:r>
          </w:p>
        </w:tc>
        <w:tc>
          <w:tcPr>
            <w:tcW w:type="dxa" w:w="1440"/>
          </w:tcPr>
          <w:p>
            <w:r>
              <w:rPr>
                <w:sz w:val="18"/>
              </w:rPr>
              <w:t>0.36</w:t>
            </w:r>
          </w:p>
        </w:tc>
        <w:tc>
          <w:tcPr>
            <w:tcW w:type="dxa" w:w="1584"/>
          </w:tcPr>
          <w:p>
            <w:r>
              <w:rPr>
                <w:sz w:val="18"/>
              </w:rPr>
              <w:t>0.30-0.46</w:t>
            </w:r>
          </w:p>
        </w:tc>
        <w:tc>
          <w:tcPr>
            <w:tcW w:type="dxa" w:w="1296"/>
          </w:tcPr>
          <w:p>
            <w:r>
              <w:rPr>
                <w:sz w:val="18"/>
              </w:rPr>
              <w:t>0.29</w:t>
            </w:r>
          </w:p>
        </w:tc>
        <w:tc>
          <w:tcPr>
            <w:tcW w:type="dxa" w:w="1296"/>
          </w:tcPr>
          <w:p>
            <w:r>
              <w:rPr>
                <w:sz w:val="18"/>
              </w:rPr>
              <w:t>-0.21</w:t>
            </w:r>
          </w:p>
        </w:tc>
        <w:tc>
          <w:tcPr>
            <w:tcW w:type="dxa" w:w="1296"/>
          </w:tcPr>
          <w:p>
            <w:r>
              <w:rPr>
                <w:sz w:val="18"/>
              </w:rPr>
              <w:t>26</w:t>
            </w:r>
          </w:p>
        </w:tc>
      </w:tr>
      <w:tr>
        <w:tc>
          <w:tcPr>
            <w:tcW w:type="dxa" w:w="1296"/>
          </w:tcPr>
          <w:p>
            <w:r>
              <w:rPr>
                <w:sz w:val="18"/>
              </w:rPr>
              <w:t>SSP370</w:t>
            </w:r>
          </w:p>
        </w:tc>
        <w:tc>
          <w:tcPr>
            <w:tcW w:type="dxa" w:w="1440"/>
          </w:tcPr>
          <w:p>
            <w:r>
              <w:rPr>
                <w:sz w:val="18"/>
              </w:rPr>
              <w:t>2070-2099</w:t>
            </w:r>
          </w:p>
        </w:tc>
        <w:tc>
          <w:tcPr>
            <w:tcW w:type="dxa" w:w="864"/>
          </w:tcPr>
          <w:p>
            <w:r>
              <w:rPr>
                <w:sz w:val="18"/>
              </w:rPr>
              <w:t>62</w:t>
            </w:r>
          </w:p>
        </w:tc>
        <w:tc>
          <w:tcPr>
            <w:tcW w:type="dxa" w:w="1440"/>
          </w:tcPr>
          <w:p>
            <w:r>
              <w:rPr>
                <w:sz w:val="18"/>
              </w:rPr>
              <w:t>0.56</w:t>
            </w:r>
          </w:p>
        </w:tc>
        <w:tc>
          <w:tcPr>
            <w:tcW w:type="dxa" w:w="1584"/>
          </w:tcPr>
          <w:p>
            <w:r>
              <w:rPr>
                <w:sz w:val="18"/>
              </w:rPr>
              <w:t>0.27-1.05</w:t>
            </w:r>
          </w:p>
        </w:tc>
        <w:tc>
          <w:tcPr>
            <w:tcW w:type="dxa" w:w="1296"/>
          </w:tcPr>
          <w:p>
            <w:r>
              <w:rPr>
                <w:sz w:val="18"/>
              </w:rPr>
              <w:t>0.06</w:t>
            </w:r>
          </w:p>
        </w:tc>
        <w:tc>
          <w:tcPr>
            <w:tcW w:type="dxa" w:w="1296"/>
          </w:tcPr>
          <w:p>
            <w:r>
              <w:rPr>
                <w:sz w:val="18"/>
              </w:rPr>
              <w:t>-0.47</w:t>
            </w:r>
          </w:p>
        </w:tc>
        <w:tc>
          <w:tcPr>
            <w:tcW w:type="dxa" w:w="1296"/>
          </w:tcPr>
          <w:p>
            <w:r>
              <w:rPr>
                <w:sz w:val="18"/>
              </w:rPr>
              <w:t>39</w:t>
            </w:r>
          </w:p>
        </w:tc>
      </w:tr>
      <w:tr>
        <w:tc>
          <w:tcPr>
            <w:tcW w:type="dxa" w:w="1296"/>
          </w:tcPr>
          <w:p>
            <w:r>
              <w:rPr>
                <w:sz w:val="18"/>
              </w:rPr>
              <w:t>SSP585</w:t>
            </w:r>
          </w:p>
        </w:tc>
        <w:tc>
          <w:tcPr>
            <w:tcW w:type="dxa" w:w="1440"/>
          </w:tcPr>
          <w:p>
            <w:r>
              <w:rPr>
                <w:sz w:val="18"/>
              </w:rPr>
              <w:t>2070-2099</w:t>
            </w:r>
          </w:p>
        </w:tc>
        <w:tc>
          <w:tcPr>
            <w:tcW w:type="dxa" w:w="864"/>
          </w:tcPr>
          <w:p>
            <w:r>
              <w:rPr>
                <w:sz w:val="18"/>
              </w:rPr>
              <w:t>15</w:t>
            </w:r>
          </w:p>
        </w:tc>
        <w:tc>
          <w:tcPr>
            <w:tcW w:type="dxa" w:w="1440"/>
          </w:tcPr>
          <w:p>
            <w:r>
              <w:rPr>
                <w:sz w:val="18"/>
              </w:rPr>
              <w:t>0.74</w:t>
            </w:r>
          </w:p>
        </w:tc>
        <w:tc>
          <w:tcPr>
            <w:tcW w:type="dxa" w:w="1584"/>
          </w:tcPr>
          <w:p>
            <w:r>
              <w:rPr>
                <w:sz w:val="18"/>
              </w:rPr>
              <w:t>0.34-1.11</w:t>
            </w:r>
          </w:p>
        </w:tc>
        <w:tc>
          <w:tcPr>
            <w:tcW w:type="dxa" w:w="1296"/>
          </w:tcPr>
          <w:p>
            <w:r>
              <w:rPr>
                <w:sz w:val="18"/>
              </w:rPr>
              <w:t>0.39</w:t>
            </w:r>
          </w:p>
        </w:tc>
        <w:tc>
          <w:tcPr>
            <w:tcW w:type="dxa" w:w="1296"/>
          </w:tcPr>
          <w:p>
            <w:r>
              <w:rPr>
                <w:sz w:val="18"/>
              </w:rPr>
              <w:t>0.14</w:t>
            </w:r>
          </w:p>
        </w:tc>
        <w:tc>
          <w:tcPr>
            <w:tcW w:type="dxa" w:w="1296"/>
          </w:tcPr>
          <w:p>
            <w:r>
              <w:rPr>
                <w:sz w:val="18"/>
              </w:rPr>
              <w:t>40</w:t>
            </w:r>
          </w:p>
        </w:tc>
      </w:tr>
    </w:tbl>
    <w:p/>
    <w:p>
      <w:r>
        <w:t>Across the eight runs the median ratio spans 0.36 to 0.74 and Spearman ρ 0.06 to 0.39. At least one run does not beat the random-cell control, which means the matching adds nothing there and the result should not be quoted as skill.</w:t>
      </w:r>
    </w:p>
    <w:p>
      <w:r>
        <w:t>Figure 4 is the space-for-time comparison itself. For each panel, every site was matched to the future cell whose predictors are nearest in the PCA space and whose pre-1750 vegetation subgroup is the same; the x axis is the biomass observed at the site, the y axis the M' projected for its matched cell, and only sites with an analogue are drawn. Rows are the two windows, columns the four scenarios. The clouds sit below the 1:1 line in every panel, which is the same finding as Figure 2 carried through the matching.</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_mean_of_annual.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AGB against the M' projected for each site's future climate analogue, one panel per scenario-window. Each panel carries n, the median ratio, Spearman rho and the share within a factor of two for that run; the same numbers, with the rest of the statistics, are in the tables above.</w:t>
      </w:r>
    </w:p>
    <w:p>
      <w:r>
        <w:t>Figure 5 compresses each panel of Figure 4, and each control, to one number: the median of M' divided by observed AGB, with a 2,000-sample bootstrap interval. The controls are grey. This is the summary figure of the analysis, and the comparison it invites is horizontal — each future run against the present-day-analogue control and against the random-cell null, not against 1.0. Where the intervals of a run and the null overlap, that run has not demonstrated skill.</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_mean_of_annual.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r>
        <w:t>Figure 6 checks whether a distant analogue is a worse one. Panel (a) draws an arrow from each site to the cell matched to it under SSP5-8.5 2070-2099, so the direction and length of the climate shift are visible. Panel (b) plots agreement against that distance, coloured by the distance in predictor space, with the Spearman correlation between the two printed on the panel. A correlation near zero means the analogue being far away on the ground does not, by itself, make it a worse analogue — which is what one wants, since the match is made in climate space and not in geography.</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_mean_of_annual.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 Panel (b) carries the Spearman correlation between the distance to the analogue and the ratio, which is the question it asks.</w:t>
      </w:r>
    </w:p>
    <w:p>
      <w:pPr>
        <w:pStyle w:val="Heading2"/>
      </w:pPr>
      <w:r>
        <w:t>Each site against itself</w:t>
      </w:r>
    </w:p>
    <w:p>
      <w:r>
        <w:t>The ratios above are unpaired: they compare the biomass observed at one set of sites with the M' found at a different set of cells, so they mix how well M' tracks biomass with which vegetation types happen to sit in the sample. Dividing each site's matched M' by its OWN present-day M' removes that. The observed biomass cancels exactly out of the arithmetic - the quantity is M' at the analogue over M' at the site - so every site is its own control and the vegetation-type composition of the sample cannot influence the answer.</w:t>
      </w:r>
    </w:p>
    <w:p>
      <w:r>
        <w:t>Two baselines are reported and they answer different questions. Against the site's own present-day cell, the comparison carries everything the analogue changed: the search procedure and the projected climate together. Against the site's present-day analogue, the search procedure is held fixed and only the climate moves, which isolates the projected change. Confidence intervals are the 2.5th and 97.5th percentiles of 2,000 bootstrap medians, and the p-value is a Wilcoxon signed-rank test on the paired differences. With 600 pairs that test detects differences far smaller than matter, so read the interval first and the p-value last.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scenario-window</w:t>
            </w:r>
          </w:p>
        </w:tc>
        <w:tc>
          <w:tcPr>
            <w:tcW w:type="dxa" w:w="1728"/>
          </w:tcPr>
          <w:p>
            <w:r>
              <w:rPr>
                <w:b/>
                <w:sz w:val="18"/>
              </w:rPr>
              <w:t>M' ratio, paired</w:t>
            </w:r>
          </w:p>
        </w:tc>
        <w:tc>
          <w:tcPr>
            <w:tcW w:type="dxa" w:w="2016"/>
          </w:tcPr>
          <w:p>
            <w:r>
              <w:rPr>
                <w:b/>
                <w:sz w:val="18"/>
              </w:rPr>
              <w:t>95% interval</w:t>
            </w:r>
          </w:p>
        </w:tc>
        <w:tc>
          <w:tcPr>
            <w:tcW w:type="dxa" w:w="1296"/>
          </w:tcPr>
          <w:p>
            <w:r>
              <w:rPr>
                <w:b/>
                <w:sz w:val="18"/>
              </w:rPr>
              <w:t>sites lower</w:t>
            </w:r>
          </w:p>
        </w:tc>
        <w:tc>
          <w:tcPr>
            <w:tcW w:type="dxa" w:w="1296"/>
          </w:tcPr>
          <w:p>
            <w:r>
              <w:rPr>
                <w:b/>
                <w:sz w:val="18"/>
              </w:rPr>
              <w:t>no analogue</w:t>
            </w:r>
          </w:p>
        </w:tc>
      </w:tr>
      <w:tr>
        <w:tc>
          <w:tcPr>
            <w:tcW w:type="dxa" w:w="2448"/>
          </w:tcPr>
          <w:p>
            <w:r>
              <w:rPr>
                <w:sz w:val="18"/>
              </w:rPr>
              <w:t>SSP126 2035-2064</w:t>
            </w:r>
          </w:p>
        </w:tc>
        <w:tc>
          <w:tcPr>
            <w:tcW w:type="dxa" w:w="1728"/>
          </w:tcPr>
          <w:p>
            <w:r>
              <w:rPr>
                <w:sz w:val="18"/>
              </w:rPr>
              <w:t>0.967</w:t>
            </w:r>
          </w:p>
        </w:tc>
        <w:tc>
          <w:tcPr>
            <w:tcW w:type="dxa" w:w="2016"/>
          </w:tcPr>
          <w:p>
            <w:r>
              <w:rPr>
                <w:sz w:val="18"/>
              </w:rPr>
              <w:t>0.962 to 0.975</w:t>
            </w:r>
          </w:p>
        </w:tc>
        <w:tc>
          <w:tcPr>
            <w:tcW w:type="dxa" w:w="1296"/>
          </w:tcPr>
          <w:p>
            <w:r>
              <w:rPr>
                <w:sz w:val="18"/>
              </w:rPr>
              <w:t>66%</w:t>
            </w:r>
          </w:p>
        </w:tc>
        <w:tc>
          <w:tcPr>
            <w:tcW w:type="dxa" w:w="1296"/>
          </w:tcPr>
          <w:p>
            <w:r>
              <w:rPr>
                <w:sz w:val="18"/>
              </w:rPr>
              <w:t>8%</w:t>
            </w:r>
          </w:p>
        </w:tc>
      </w:tr>
      <w:tr>
        <w:tc>
          <w:tcPr>
            <w:tcW w:type="dxa" w:w="2448"/>
          </w:tcPr>
          <w:p>
            <w:r>
              <w:rPr>
                <w:sz w:val="18"/>
              </w:rPr>
              <w:t>SSP245 2035-2064</w:t>
            </w:r>
          </w:p>
        </w:tc>
        <w:tc>
          <w:tcPr>
            <w:tcW w:type="dxa" w:w="1728"/>
          </w:tcPr>
          <w:p>
            <w:r>
              <w:rPr>
                <w:sz w:val="18"/>
              </w:rPr>
              <w:t>0.973</w:t>
            </w:r>
          </w:p>
        </w:tc>
        <w:tc>
          <w:tcPr>
            <w:tcW w:type="dxa" w:w="2016"/>
          </w:tcPr>
          <w:p>
            <w:r>
              <w:rPr>
                <w:sz w:val="18"/>
              </w:rPr>
              <w:t>0.954 to 0.981</w:t>
            </w:r>
          </w:p>
        </w:tc>
        <w:tc>
          <w:tcPr>
            <w:tcW w:type="dxa" w:w="1296"/>
          </w:tcPr>
          <w:p>
            <w:r>
              <w:rPr>
                <w:sz w:val="18"/>
              </w:rPr>
              <w:t>61%</w:t>
            </w:r>
          </w:p>
        </w:tc>
        <w:tc>
          <w:tcPr>
            <w:tcW w:type="dxa" w:w="1296"/>
          </w:tcPr>
          <w:p>
            <w:r>
              <w:rPr>
                <w:sz w:val="18"/>
              </w:rPr>
              <w:t>10%</w:t>
            </w:r>
          </w:p>
        </w:tc>
      </w:tr>
      <w:tr>
        <w:tc>
          <w:tcPr>
            <w:tcW w:type="dxa" w:w="2448"/>
          </w:tcPr>
          <w:p>
            <w:r>
              <w:rPr>
                <w:sz w:val="18"/>
              </w:rPr>
              <w:t>SSP370 2035-2064</w:t>
            </w:r>
          </w:p>
        </w:tc>
        <w:tc>
          <w:tcPr>
            <w:tcW w:type="dxa" w:w="1728"/>
          </w:tcPr>
          <w:p>
            <w:r>
              <w:rPr>
                <w:sz w:val="18"/>
              </w:rPr>
              <w:t>0.964</w:t>
            </w:r>
          </w:p>
        </w:tc>
        <w:tc>
          <w:tcPr>
            <w:tcW w:type="dxa" w:w="2016"/>
          </w:tcPr>
          <w:p>
            <w:r>
              <w:rPr>
                <w:sz w:val="18"/>
              </w:rPr>
              <w:t>0.947 to 0.978</w:t>
            </w:r>
          </w:p>
        </w:tc>
        <w:tc>
          <w:tcPr>
            <w:tcW w:type="dxa" w:w="1296"/>
          </w:tcPr>
          <w:p>
            <w:r>
              <w:rPr>
                <w:sz w:val="18"/>
              </w:rPr>
              <w:t>63%</w:t>
            </w:r>
          </w:p>
        </w:tc>
        <w:tc>
          <w:tcPr>
            <w:tcW w:type="dxa" w:w="1296"/>
          </w:tcPr>
          <w:p>
            <w:r>
              <w:rPr>
                <w:sz w:val="18"/>
              </w:rPr>
              <w:t>14%</w:t>
            </w:r>
          </w:p>
        </w:tc>
      </w:tr>
      <w:tr>
        <w:tc>
          <w:tcPr>
            <w:tcW w:type="dxa" w:w="2448"/>
          </w:tcPr>
          <w:p>
            <w:r>
              <w:rPr>
                <w:sz w:val="18"/>
              </w:rPr>
              <w:t>SSP585 2035-2064</w:t>
            </w:r>
          </w:p>
        </w:tc>
        <w:tc>
          <w:tcPr>
            <w:tcW w:type="dxa" w:w="1728"/>
          </w:tcPr>
          <w:p>
            <w:r>
              <w:rPr>
                <w:sz w:val="18"/>
              </w:rPr>
              <w:t>0.943</w:t>
            </w:r>
          </w:p>
        </w:tc>
        <w:tc>
          <w:tcPr>
            <w:tcW w:type="dxa" w:w="2016"/>
          </w:tcPr>
          <w:p>
            <w:r>
              <w:rPr>
                <w:sz w:val="18"/>
              </w:rPr>
              <w:t>0.928 to 0.961</w:t>
            </w:r>
          </w:p>
        </w:tc>
        <w:tc>
          <w:tcPr>
            <w:tcW w:type="dxa" w:w="1296"/>
          </w:tcPr>
          <w:p>
            <w:r>
              <w:rPr>
                <w:sz w:val="18"/>
              </w:rPr>
              <w:t>61%</w:t>
            </w:r>
          </w:p>
        </w:tc>
        <w:tc>
          <w:tcPr>
            <w:tcW w:type="dxa" w:w="1296"/>
          </w:tcPr>
          <w:p>
            <w:r>
              <w:rPr>
                <w:sz w:val="18"/>
              </w:rPr>
              <w:t>18%</w:t>
            </w:r>
          </w:p>
        </w:tc>
      </w:tr>
      <w:tr>
        <w:tc>
          <w:tcPr>
            <w:tcW w:type="dxa" w:w="2448"/>
          </w:tcPr>
          <w:p>
            <w:r>
              <w:rPr>
                <w:sz w:val="18"/>
              </w:rPr>
              <w:t>SSP126 2070-2099</w:t>
            </w:r>
          </w:p>
        </w:tc>
        <w:tc>
          <w:tcPr>
            <w:tcW w:type="dxa" w:w="1728"/>
          </w:tcPr>
          <w:p>
            <w:r>
              <w:rPr>
                <w:sz w:val="18"/>
              </w:rPr>
              <w:t>0.932</w:t>
            </w:r>
          </w:p>
        </w:tc>
        <w:tc>
          <w:tcPr>
            <w:tcW w:type="dxa" w:w="2016"/>
          </w:tcPr>
          <w:p>
            <w:r>
              <w:rPr>
                <w:sz w:val="18"/>
              </w:rPr>
              <w:t>0.916 to 0.938</w:t>
            </w:r>
          </w:p>
        </w:tc>
        <w:tc>
          <w:tcPr>
            <w:tcW w:type="dxa" w:w="1296"/>
          </w:tcPr>
          <w:p>
            <w:r>
              <w:rPr>
                <w:sz w:val="18"/>
              </w:rPr>
              <w:t>70%</w:t>
            </w:r>
          </w:p>
        </w:tc>
        <w:tc>
          <w:tcPr>
            <w:tcW w:type="dxa" w:w="1296"/>
          </w:tcPr>
          <w:p>
            <w:r>
              <w:rPr>
                <w:sz w:val="18"/>
              </w:rPr>
              <w:t>11%</w:t>
            </w:r>
          </w:p>
        </w:tc>
      </w:tr>
      <w:tr>
        <w:tc>
          <w:tcPr>
            <w:tcW w:type="dxa" w:w="2448"/>
          </w:tcPr>
          <w:p>
            <w:r>
              <w:rPr>
                <w:sz w:val="18"/>
              </w:rPr>
              <w:t>SSP245 2070-2099</w:t>
            </w:r>
          </w:p>
        </w:tc>
        <w:tc>
          <w:tcPr>
            <w:tcW w:type="dxa" w:w="1728"/>
          </w:tcPr>
          <w:p>
            <w:r>
              <w:rPr>
                <w:sz w:val="18"/>
              </w:rPr>
              <w:t>0.994</w:t>
            </w:r>
          </w:p>
        </w:tc>
        <w:tc>
          <w:tcPr>
            <w:tcW w:type="dxa" w:w="2016"/>
          </w:tcPr>
          <w:p>
            <w:r>
              <w:rPr>
                <w:sz w:val="18"/>
              </w:rPr>
              <w:t>0.980 to 1.008</w:t>
            </w:r>
          </w:p>
        </w:tc>
        <w:tc>
          <w:tcPr>
            <w:tcW w:type="dxa" w:w="1296"/>
          </w:tcPr>
          <w:p>
            <w:r>
              <w:rPr>
                <w:sz w:val="18"/>
              </w:rPr>
              <w:t>53%</w:t>
            </w:r>
          </w:p>
        </w:tc>
        <w:tc>
          <w:tcPr>
            <w:tcW w:type="dxa" w:w="1296"/>
          </w:tcPr>
          <w:p>
            <w:r>
              <w:rPr>
                <w:sz w:val="18"/>
              </w:rPr>
              <w:t>52%</w:t>
            </w:r>
          </w:p>
        </w:tc>
      </w:tr>
      <w:tr>
        <w:tc>
          <w:tcPr>
            <w:tcW w:type="dxa" w:w="2448"/>
          </w:tcPr>
          <w:p>
            <w:r>
              <w:rPr>
                <w:sz w:val="18"/>
              </w:rPr>
              <w:t>SSP370 2070-2099</w:t>
            </w:r>
          </w:p>
        </w:tc>
        <w:tc>
          <w:tcPr>
            <w:tcW w:type="dxa" w:w="1728"/>
          </w:tcPr>
          <w:p>
            <w:r>
              <w:rPr>
                <w:sz w:val="18"/>
              </w:rPr>
              <w:t>1.123</w:t>
            </w:r>
          </w:p>
        </w:tc>
        <w:tc>
          <w:tcPr>
            <w:tcW w:type="dxa" w:w="2016"/>
          </w:tcPr>
          <w:p>
            <w:r>
              <w:rPr>
                <w:sz w:val="18"/>
              </w:rPr>
              <w:t>1.057 to 1.183</w:t>
            </w:r>
          </w:p>
        </w:tc>
        <w:tc>
          <w:tcPr>
            <w:tcW w:type="dxa" w:w="1296"/>
          </w:tcPr>
          <w:p>
            <w:r>
              <w:rPr>
                <w:sz w:val="18"/>
              </w:rPr>
              <w:t>41%</w:t>
            </w:r>
          </w:p>
        </w:tc>
        <w:tc>
          <w:tcPr>
            <w:tcW w:type="dxa" w:w="1296"/>
          </w:tcPr>
          <w:p>
            <w:r>
              <w:rPr>
                <w:sz w:val="18"/>
              </w:rPr>
              <w:t>90%</w:t>
            </w:r>
          </w:p>
        </w:tc>
      </w:tr>
      <w:tr>
        <w:tc>
          <w:tcPr>
            <w:tcW w:type="dxa" w:w="2448"/>
          </w:tcPr>
          <w:p>
            <w:r>
              <w:rPr>
                <w:sz w:val="18"/>
              </w:rPr>
              <w:t>SSP585 2070-2099</w:t>
            </w:r>
          </w:p>
        </w:tc>
        <w:tc>
          <w:tcPr>
            <w:tcW w:type="dxa" w:w="1728"/>
          </w:tcPr>
          <w:p>
            <w:r>
              <w:rPr>
                <w:sz w:val="18"/>
              </w:rPr>
              <w:t>1.275</w:t>
            </w:r>
          </w:p>
        </w:tc>
        <w:tc>
          <w:tcPr>
            <w:tcW w:type="dxa" w:w="2016"/>
          </w:tcPr>
          <w:p>
            <w:r>
              <w:rPr>
                <w:sz w:val="18"/>
              </w:rPr>
              <w:t>1.159 to 1.357</w:t>
            </w:r>
          </w:p>
        </w:tc>
        <w:tc>
          <w:tcPr>
            <w:tcW w:type="dxa" w:w="1296"/>
          </w:tcPr>
          <w:p>
            <w:r>
              <w:rPr>
                <w:sz w:val="18"/>
              </w:rPr>
              <w:t>39%</w:t>
            </w:r>
          </w:p>
        </w:tc>
        <w:tc>
          <w:tcPr>
            <w:tcW w:type="dxa" w:w="1296"/>
          </w:tcPr>
          <w:p>
            <w:r>
              <w:rPr>
                <w:sz w:val="18"/>
              </w:rPr>
              <w:t>98%</w:t>
            </w:r>
          </w:p>
        </w:tc>
      </w:tr>
    </w:tbl>
    <w:p/>
    <w:p>
      <w:r>
        <w:t>Read the last column with the first. Where most sites still have an analogue - every mid-century window, and SSP126 late - the paired change is a decline of 2.5 to 6.9 per cent, consistent and small. Where the analogue pool has collapsed, the same statistic reverses and reports a RISE of 12 to 28 per cent. That reversal is not a projected gain in productivity. It is selection: when 90 or 98 per cent of sites have no analogue, the few that remain are the cells whose climate still exists somewhere in the future domain, which are the wetter and more productive ones. The statistic is then computed on a sample that no longer represents the reference set.</w:t>
      </w:r>
    </w:p>
    <w:p>
      <w:pPr>
        <w:jc w:val="center"/>
      </w:pPr>
      <w:r>
        <w:drawing>
          <wp:inline xmlns:a="http://schemas.openxmlformats.org/drawingml/2006/main" xmlns:pic="http://schemas.openxmlformats.org/drawingml/2006/picture">
            <wp:extent cx="5852160" cy="2660073"/>
            <wp:docPr id="7" name="Picture 7"/>
            <wp:cNvGraphicFramePr>
              <a:graphicFrameLocks noChangeAspect="1"/>
            </wp:cNvGraphicFramePr>
            <a:graphic>
              <a:graphicData uri="http://schemas.openxmlformats.org/drawingml/2006/picture">
                <pic:pic>
                  <pic:nvPicPr>
                    <pic:cNvPr id="0" name="fig_07_paired_change_nvis_mean_of_annual.png"/>
                    <pic:cNvPicPr/>
                  </pic:nvPicPr>
                  <pic:blipFill>
                    <a:blip r:embed="rId15"/>
                    <a:stretch>
                      <a:fillRect/>
                    </a:stretch>
                  </pic:blipFill>
                  <pic:spPr>
                    <a:xfrm>
                      <a:off x="0" y="0"/>
                      <a:ext cx="5852160" cy="2660073"/>
                    </a:xfrm>
                    <a:prstGeom prst="rect"/>
                  </pic:spPr>
                </pic:pic>
              </a:graphicData>
            </a:graphic>
          </wp:inline>
        </w:drawing>
      </w:r>
    </w:p>
    <w:p>
      <w:r>
        <w:rPr>
          <w:i/>
          <w:color w:val="52514E"/>
          <w:sz w:val="17"/>
        </w:rPr>
        <w:t>Figure 7. Paired per-site change in M', each site its own control. Points are the median ratio with a 95% bootstrap interval; the shaded band marks the runs where most sites have no analogue left and the survivors are a biased remnant.</w:t>
      </w:r>
    </w:p>
    <w:p>
      <w:pPr>
        <w:pStyle w:val="Heading2"/>
      </w:pPr>
      <w:r>
        <w:t>Which runs are results, and which are not</w:t>
      </w:r>
    </w:p>
    <w:p>
      <w:r>
        <w:t>Three of the eight scenario-windows should not be quoted as findings. Of 600 sites, SSP370 2070-2099 retains 62 with an analogue, SSP585 2070-2099 retains 15, and SSP245 2070-2099 retains 287. Below roughly a hundred sites the metrics are unstable from run to run, and the surviving sample is systematically wetter than the reference set, so both the level and the direction of the change are unreliable. The five remaining windows - all four mid-century, and SSP126 late-century - carry 82 to 92 per cent of their sites and are the ones that support a statement.</w:t>
      </w:r>
    </w:p>
    <w:p>
      <w:r>
        <w:t>The no-analogue fractions are themselves a result, and arguably the most important one in this report. They say that by the end of the century under high forcing, the climate projected for most of these forested sites does not occur anywhere in present-day Australia. M' at those locations is therefore an extrapolation beyond anything the observational record can constrain - the random forest is predicting FPI for climates it never saw, and no amount of validation against present-day biomass can test that. This is a property of the projection, not a defect of the matching procedure, and it applies equally to the FullCAM inputs built from the same layers.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scenario-window</w:t>
            </w:r>
          </w:p>
        </w:tc>
        <w:tc>
          <w:tcPr>
            <w:tcW w:type="dxa" w:w="2304"/>
          </w:tcPr>
          <w:p>
            <w:r>
              <w:rPr>
                <w:b/>
                <w:sz w:val="18"/>
              </w:rPr>
              <w:t>sites with no analogue</w:t>
            </w:r>
          </w:p>
        </w:tc>
        <w:tc>
          <w:tcPr>
            <w:tcW w:type="dxa" w:w="1440"/>
          </w:tcPr>
          <w:p>
            <w:r>
              <w:rPr>
                <w:b/>
                <w:sz w:val="18"/>
              </w:rPr>
              <w:t>share</w:t>
            </w:r>
          </w:p>
        </w:tc>
      </w:tr>
      <w:tr>
        <w:tc>
          <w:tcPr>
            <w:tcW w:type="dxa" w:w="2880"/>
          </w:tcPr>
          <w:p>
            <w:r>
              <w:rPr>
                <w:sz w:val="18"/>
              </w:rPr>
              <w:t>SSP126 2035-2064</w:t>
            </w:r>
          </w:p>
        </w:tc>
        <w:tc>
          <w:tcPr>
            <w:tcW w:type="dxa" w:w="2304"/>
          </w:tcPr>
          <w:p>
            <w:r>
              <w:rPr>
                <w:sz w:val="18"/>
              </w:rPr>
              <w:t>50</w:t>
            </w:r>
          </w:p>
        </w:tc>
        <w:tc>
          <w:tcPr>
            <w:tcW w:type="dxa" w:w="1440"/>
          </w:tcPr>
          <w:p>
            <w:r>
              <w:rPr>
                <w:sz w:val="18"/>
              </w:rPr>
              <w:t>8.3%</w:t>
            </w:r>
          </w:p>
        </w:tc>
      </w:tr>
      <w:tr>
        <w:tc>
          <w:tcPr>
            <w:tcW w:type="dxa" w:w="2880"/>
          </w:tcPr>
          <w:p>
            <w:r>
              <w:rPr>
                <w:sz w:val="18"/>
              </w:rPr>
              <w:t>SSP126 2070-2099</w:t>
            </w:r>
          </w:p>
        </w:tc>
        <w:tc>
          <w:tcPr>
            <w:tcW w:type="dxa" w:w="2304"/>
          </w:tcPr>
          <w:p>
            <w:r>
              <w:rPr>
                <w:sz w:val="18"/>
              </w:rPr>
              <w:t>65</w:t>
            </w:r>
          </w:p>
        </w:tc>
        <w:tc>
          <w:tcPr>
            <w:tcW w:type="dxa" w:w="1440"/>
          </w:tcPr>
          <w:p>
            <w:r>
              <w:rPr>
                <w:sz w:val="18"/>
              </w:rPr>
              <w:t>10.8%</w:t>
            </w:r>
          </w:p>
        </w:tc>
      </w:tr>
      <w:tr>
        <w:tc>
          <w:tcPr>
            <w:tcW w:type="dxa" w:w="2880"/>
          </w:tcPr>
          <w:p>
            <w:r>
              <w:rPr>
                <w:sz w:val="18"/>
              </w:rPr>
              <w:t>SSP245 2035-2064</w:t>
            </w:r>
          </w:p>
        </w:tc>
        <w:tc>
          <w:tcPr>
            <w:tcW w:type="dxa" w:w="2304"/>
          </w:tcPr>
          <w:p>
            <w:r>
              <w:rPr>
                <w:sz w:val="18"/>
              </w:rPr>
              <w:t>58</w:t>
            </w:r>
          </w:p>
        </w:tc>
        <w:tc>
          <w:tcPr>
            <w:tcW w:type="dxa" w:w="1440"/>
          </w:tcPr>
          <w:p>
            <w:r>
              <w:rPr>
                <w:sz w:val="18"/>
              </w:rPr>
              <w:t>9.7%</w:t>
            </w:r>
          </w:p>
        </w:tc>
      </w:tr>
      <w:tr>
        <w:tc>
          <w:tcPr>
            <w:tcW w:type="dxa" w:w="2880"/>
          </w:tcPr>
          <w:p>
            <w:r>
              <w:rPr>
                <w:sz w:val="18"/>
              </w:rPr>
              <w:t>SSP245 2070-2099</w:t>
            </w:r>
          </w:p>
        </w:tc>
        <w:tc>
          <w:tcPr>
            <w:tcW w:type="dxa" w:w="2304"/>
          </w:tcPr>
          <w:p>
            <w:r>
              <w:rPr>
                <w:sz w:val="18"/>
              </w:rPr>
              <w:t>313</w:t>
            </w:r>
          </w:p>
        </w:tc>
        <w:tc>
          <w:tcPr>
            <w:tcW w:type="dxa" w:w="1440"/>
          </w:tcPr>
          <w:p>
            <w:r>
              <w:rPr>
                <w:sz w:val="18"/>
              </w:rPr>
              <w:t>52.2%</w:t>
            </w:r>
          </w:p>
        </w:tc>
      </w:tr>
      <w:tr>
        <w:tc>
          <w:tcPr>
            <w:tcW w:type="dxa" w:w="2880"/>
          </w:tcPr>
          <w:p>
            <w:r>
              <w:rPr>
                <w:sz w:val="18"/>
              </w:rPr>
              <w:t>SSP370 2035-2064</w:t>
            </w:r>
          </w:p>
        </w:tc>
        <w:tc>
          <w:tcPr>
            <w:tcW w:type="dxa" w:w="2304"/>
          </w:tcPr>
          <w:p>
            <w:r>
              <w:rPr>
                <w:sz w:val="18"/>
              </w:rPr>
              <w:t>82</w:t>
            </w:r>
          </w:p>
        </w:tc>
        <w:tc>
          <w:tcPr>
            <w:tcW w:type="dxa" w:w="1440"/>
          </w:tcPr>
          <w:p>
            <w:r>
              <w:rPr>
                <w:sz w:val="18"/>
              </w:rPr>
              <w:t>13.7%</w:t>
            </w:r>
          </w:p>
        </w:tc>
      </w:tr>
      <w:tr>
        <w:tc>
          <w:tcPr>
            <w:tcW w:type="dxa" w:w="2880"/>
          </w:tcPr>
          <w:p>
            <w:r>
              <w:rPr>
                <w:sz w:val="18"/>
              </w:rPr>
              <w:t>SSP370 2070-2099</w:t>
            </w:r>
          </w:p>
        </w:tc>
        <w:tc>
          <w:tcPr>
            <w:tcW w:type="dxa" w:w="2304"/>
          </w:tcPr>
          <w:p>
            <w:r>
              <w:rPr>
                <w:sz w:val="18"/>
              </w:rPr>
              <w:t>538</w:t>
            </w:r>
          </w:p>
        </w:tc>
        <w:tc>
          <w:tcPr>
            <w:tcW w:type="dxa" w:w="1440"/>
          </w:tcPr>
          <w:p>
            <w:r>
              <w:rPr>
                <w:sz w:val="18"/>
              </w:rPr>
              <w:t>89.7%</w:t>
            </w:r>
          </w:p>
        </w:tc>
      </w:tr>
      <w:tr>
        <w:tc>
          <w:tcPr>
            <w:tcW w:type="dxa" w:w="2880"/>
          </w:tcPr>
          <w:p>
            <w:r>
              <w:rPr>
                <w:sz w:val="18"/>
              </w:rPr>
              <w:t>SSP585 2035-2064</w:t>
            </w:r>
          </w:p>
        </w:tc>
        <w:tc>
          <w:tcPr>
            <w:tcW w:type="dxa" w:w="2304"/>
          </w:tcPr>
          <w:p>
            <w:r>
              <w:rPr>
                <w:sz w:val="18"/>
              </w:rPr>
              <w:t>111</w:t>
            </w:r>
          </w:p>
        </w:tc>
        <w:tc>
          <w:tcPr>
            <w:tcW w:type="dxa" w:w="1440"/>
          </w:tcPr>
          <w:p>
            <w:r>
              <w:rPr>
                <w:sz w:val="18"/>
              </w:rPr>
              <w:t>18.5%</w:t>
            </w:r>
          </w:p>
        </w:tc>
      </w:tr>
      <w:tr>
        <w:tc>
          <w:tcPr>
            <w:tcW w:type="dxa" w:w="2880"/>
          </w:tcPr>
          <w:p>
            <w:r>
              <w:rPr>
                <w:sz w:val="18"/>
              </w:rPr>
              <w:t>SSP585 2070-2099</w:t>
            </w:r>
          </w:p>
        </w:tc>
        <w:tc>
          <w:tcPr>
            <w:tcW w:type="dxa" w:w="2304"/>
          </w:tcPr>
          <w:p>
            <w:r>
              <w:rPr>
                <w:sz w:val="18"/>
              </w:rPr>
              <w:t>585</w:t>
            </w:r>
          </w:p>
        </w:tc>
        <w:tc>
          <w:tcPr>
            <w:tcW w:type="dxa" w:w="1440"/>
          </w:tcPr>
          <w:p>
            <w:r>
              <w:rPr>
                <w:sz w:val="18"/>
              </w:rPr>
              <w:t>97.5%</w:t>
            </w:r>
          </w:p>
        </w:tc>
      </w:tr>
    </w:tbl>
    <w:p/>
    <w:p>
      <w:pPr>
        <w:pStyle w:val="Heading2"/>
      </w:pPr>
      <w:r>
        <w:t>The other averaging order</w:t>
      </w:r>
    </w:p>
    <w:p>
      <w:r>
        <w:t>M' exists in two averaging orders, and both have a random-forest historical denominator. This report validates the one built as the mean of the annual Eq. (1) M; the other is built as the Eq. (1) of the mean FPI (the method). Eq. (1) is convex, so the two are not the same layer — at the M level the gap is about 3%, and against Revised_M_Roxburgh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574</w:t>
            </w:r>
          </w:p>
        </w:tc>
        <w:tc>
          <w:tcPr>
            <w:tcW w:type="dxa" w:w="1584"/>
          </w:tcPr>
          <w:p>
            <w:r>
              <w:rPr>
                <w:sz w:val="18"/>
              </w:rPr>
              <w:t>0.491</w:t>
            </w:r>
          </w:p>
        </w:tc>
        <w:tc>
          <w:tcPr>
            <w:tcW w:type="dxa" w:w="1584"/>
          </w:tcPr>
          <w:p>
            <w:r>
              <w:rPr>
                <w:sz w:val="18"/>
              </w:rPr>
              <w:t>0.491</w:t>
            </w:r>
          </w:p>
        </w:tc>
        <w:tc>
          <w:tcPr>
            <w:tcW w:type="dxa" w:w="1584"/>
          </w:tcPr>
          <w:p>
            <w:r>
              <w:rPr>
                <w:sz w:val="18"/>
              </w:rPr>
              <w:t>+0.00%</w:t>
            </w:r>
          </w:p>
        </w:tc>
      </w:tr>
      <w:tr>
        <w:tc>
          <w:tcPr>
            <w:tcW w:type="dxa" w:w="2880"/>
          </w:tcPr>
          <w:p>
            <w:r>
              <w:rPr>
                <w:sz w:val="18"/>
              </w:rPr>
              <w:t>random cells (null)</w:t>
            </w:r>
          </w:p>
        </w:tc>
        <w:tc>
          <w:tcPr>
            <w:tcW w:type="dxa" w:w="864"/>
          </w:tcPr>
          <w:p>
            <w:r>
              <w:rPr>
                <w:sz w:val="18"/>
              </w:rPr>
              <w:t>600</w:t>
            </w:r>
          </w:p>
        </w:tc>
        <w:tc>
          <w:tcPr>
            <w:tcW w:type="dxa" w:w="1584"/>
          </w:tcPr>
          <w:p>
            <w:r>
              <w:rPr>
                <w:sz w:val="18"/>
              </w:rPr>
              <w:t>0.445</w:t>
            </w:r>
          </w:p>
        </w:tc>
        <w:tc>
          <w:tcPr>
            <w:tcW w:type="dxa" w:w="1584"/>
          </w:tcPr>
          <w:p>
            <w:r>
              <w:rPr>
                <w:sz w:val="18"/>
              </w:rPr>
              <w:t>0.445</w:t>
            </w:r>
          </w:p>
        </w:tc>
        <w:tc>
          <w:tcPr>
            <w:tcW w:type="dxa" w:w="1584"/>
          </w:tcPr>
          <w:p>
            <w:r>
              <w:rPr>
                <w:sz w:val="18"/>
              </w:rPr>
              <w:t>+0.00%</w:t>
            </w:r>
          </w:p>
        </w:tc>
      </w:tr>
      <w:tr>
        <w:tc>
          <w:tcPr>
            <w:tcW w:type="dxa" w:w="2880"/>
          </w:tcPr>
          <w:p>
            <w:r>
              <w:rPr>
                <w:sz w:val="18"/>
              </w:rPr>
              <w:t>SSP126 2035-2064</w:t>
            </w:r>
          </w:p>
        </w:tc>
        <w:tc>
          <w:tcPr>
            <w:tcW w:type="dxa" w:w="864"/>
          </w:tcPr>
          <w:p>
            <w:r>
              <w:rPr>
                <w:sz w:val="18"/>
              </w:rPr>
              <w:t>550</w:t>
            </w:r>
          </w:p>
        </w:tc>
        <w:tc>
          <w:tcPr>
            <w:tcW w:type="dxa" w:w="1584"/>
          </w:tcPr>
          <w:p>
            <w:r>
              <w:rPr>
                <w:sz w:val="18"/>
              </w:rPr>
              <w:t>0.465</w:t>
            </w:r>
          </w:p>
        </w:tc>
        <w:tc>
          <w:tcPr>
            <w:tcW w:type="dxa" w:w="1584"/>
          </w:tcPr>
          <w:p>
            <w:r>
              <w:rPr>
                <w:sz w:val="18"/>
              </w:rPr>
              <w:t>0.465</w:t>
            </w:r>
          </w:p>
        </w:tc>
        <w:tc>
          <w:tcPr>
            <w:tcW w:type="dxa" w:w="1584"/>
          </w:tcPr>
          <w:p>
            <w:r>
              <w:rPr>
                <w:sz w:val="18"/>
              </w:rPr>
              <w:t>+0.13%</w:t>
            </w:r>
          </w:p>
        </w:tc>
      </w:tr>
      <w:tr>
        <w:tc>
          <w:tcPr>
            <w:tcW w:type="dxa" w:w="2880"/>
          </w:tcPr>
          <w:p>
            <w:r>
              <w:rPr>
                <w:sz w:val="18"/>
              </w:rPr>
              <w:t>SSP245 2035-2064</w:t>
            </w:r>
          </w:p>
        </w:tc>
        <w:tc>
          <w:tcPr>
            <w:tcW w:type="dxa" w:w="864"/>
          </w:tcPr>
          <w:p>
            <w:r>
              <w:rPr>
                <w:sz w:val="18"/>
              </w:rPr>
              <w:t>542</w:t>
            </w:r>
          </w:p>
        </w:tc>
        <w:tc>
          <w:tcPr>
            <w:tcW w:type="dxa" w:w="1584"/>
          </w:tcPr>
          <w:p>
            <w:r>
              <w:rPr>
                <w:sz w:val="18"/>
              </w:rPr>
              <w:t>0.468</w:t>
            </w:r>
          </w:p>
        </w:tc>
        <w:tc>
          <w:tcPr>
            <w:tcW w:type="dxa" w:w="1584"/>
          </w:tcPr>
          <w:p>
            <w:r>
              <w:rPr>
                <w:sz w:val="18"/>
              </w:rPr>
              <w:t>0.470</w:t>
            </w:r>
          </w:p>
        </w:tc>
        <w:tc>
          <w:tcPr>
            <w:tcW w:type="dxa" w:w="1584"/>
          </w:tcPr>
          <w:p>
            <w:r>
              <w:rPr>
                <w:sz w:val="18"/>
              </w:rPr>
              <w:t>+0.34%</w:t>
            </w:r>
          </w:p>
        </w:tc>
      </w:tr>
      <w:tr>
        <w:tc>
          <w:tcPr>
            <w:tcW w:type="dxa" w:w="2880"/>
          </w:tcPr>
          <w:p>
            <w:r>
              <w:rPr>
                <w:sz w:val="18"/>
              </w:rPr>
              <w:t>SSP370 2035-2064</w:t>
            </w:r>
          </w:p>
        </w:tc>
        <w:tc>
          <w:tcPr>
            <w:tcW w:type="dxa" w:w="864"/>
          </w:tcPr>
          <w:p>
            <w:r>
              <w:rPr>
                <w:sz w:val="18"/>
              </w:rPr>
              <w:t>518</w:t>
            </w:r>
          </w:p>
        </w:tc>
        <w:tc>
          <w:tcPr>
            <w:tcW w:type="dxa" w:w="1584"/>
          </w:tcPr>
          <w:p>
            <w:r>
              <w:rPr>
                <w:sz w:val="18"/>
              </w:rPr>
              <w:t>0.464</w:t>
            </w:r>
          </w:p>
        </w:tc>
        <w:tc>
          <w:tcPr>
            <w:tcW w:type="dxa" w:w="1584"/>
          </w:tcPr>
          <w:p>
            <w:r>
              <w:rPr>
                <w:sz w:val="18"/>
              </w:rPr>
              <w:t>0.464</w:t>
            </w:r>
          </w:p>
        </w:tc>
        <w:tc>
          <w:tcPr>
            <w:tcW w:type="dxa" w:w="1584"/>
          </w:tcPr>
          <w:p>
            <w:r>
              <w:rPr>
                <w:sz w:val="18"/>
              </w:rPr>
              <w:t>+0.11%</w:t>
            </w:r>
          </w:p>
        </w:tc>
      </w:tr>
      <w:tr>
        <w:tc>
          <w:tcPr>
            <w:tcW w:type="dxa" w:w="2880"/>
          </w:tcPr>
          <w:p>
            <w:r>
              <w:rPr>
                <w:sz w:val="18"/>
              </w:rPr>
              <w:t>SSP585 2035-2064</w:t>
            </w:r>
          </w:p>
        </w:tc>
        <w:tc>
          <w:tcPr>
            <w:tcW w:type="dxa" w:w="864"/>
          </w:tcPr>
          <w:p>
            <w:r>
              <w:rPr>
                <w:sz w:val="18"/>
              </w:rPr>
              <w:t>489</w:t>
            </w:r>
          </w:p>
        </w:tc>
        <w:tc>
          <w:tcPr>
            <w:tcW w:type="dxa" w:w="1584"/>
          </w:tcPr>
          <w:p>
            <w:r>
              <w:rPr>
                <w:sz w:val="18"/>
              </w:rPr>
              <w:t>0.427</w:t>
            </w:r>
          </w:p>
        </w:tc>
        <w:tc>
          <w:tcPr>
            <w:tcW w:type="dxa" w:w="1584"/>
          </w:tcPr>
          <w:p>
            <w:r>
              <w:rPr>
                <w:sz w:val="18"/>
              </w:rPr>
              <w:t>0.427</w:t>
            </w:r>
          </w:p>
        </w:tc>
        <w:tc>
          <w:tcPr>
            <w:tcW w:type="dxa" w:w="1584"/>
          </w:tcPr>
          <w:p>
            <w:r>
              <w:rPr>
                <w:sz w:val="18"/>
              </w:rPr>
              <w:t>+0.06%</w:t>
            </w:r>
          </w:p>
        </w:tc>
      </w:tr>
      <w:tr>
        <w:tc>
          <w:tcPr>
            <w:tcW w:type="dxa" w:w="2880"/>
          </w:tcPr>
          <w:p>
            <w:r>
              <w:rPr>
                <w:sz w:val="18"/>
              </w:rPr>
              <w:t>SSP126 2070-2099</w:t>
            </w:r>
          </w:p>
        </w:tc>
        <w:tc>
          <w:tcPr>
            <w:tcW w:type="dxa" w:w="864"/>
          </w:tcPr>
          <w:p>
            <w:r>
              <w:rPr>
                <w:sz w:val="18"/>
              </w:rPr>
              <w:t>535</w:t>
            </w:r>
          </w:p>
        </w:tc>
        <w:tc>
          <w:tcPr>
            <w:tcW w:type="dxa" w:w="1584"/>
          </w:tcPr>
          <w:p>
            <w:r>
              <w:rPr>
                <w:sz w:val="18"/>
              </w:rPr>
              <w:t>0.441</w:t>
            </w:r>
          </w:p>
        </w:tc>
        <w:tc>
          <w:tcPr>
            <w:tcW w:type="dxa" w:w="1584"/>
          </w:tcPr>
          <w:p>
            <w:r>
              <w:rPr>
                <w:sz w:val="18"/>
              </w:rPr>
              <w:t>0.441</w:t>
            </w:r>
          </w:p>
        </w:tc>
        <w:tc>
          <w:tcPr>
            <w:tcW w:type="dxa" w:w="1584"/>
          </w:tcPr>
          <w:p>
            <w:r>
              <w:rPr>
                <w:sz w:val="18"/>
              </w:rPr>
              <w:t>-0.16%</w:t>
            </w:r>
          </w:p>
        </w:tc>
      </w:tr>
      <w:tr>
        <w:tc>
          <w:tcPr>
            <w:tcW w:type="dxa" w:w="2880"/>
          </w:tcPr>
          <w:p>
            <w:r>
              <w:rPr>
                <w:sz w:val="18"/>
              </w:rPr>
              <w:t>SSP245 2070-2099</w:t>
            </w:r>
          </w:p>
        </w:tc>
        <w:tc>
          <w:tcPr>
            <w:tcW w:type="dxa" w:w="864"/>
          </w:tcPr>
          <w:p>
            <w:r>
              <w:rPr>
                <w:sz w:val="18"/>
              </w:rPr>
              <w:t>287</w:t>
            </w:r>
          </w:p>
        </w:tc>
        <w:tc>
          <w:tcPr>
            <w:tcW w:type="dxa" w:w="1584"/>
          </w:tcPr>
          <w:p>
            <w:r>
              <w:rPr>
                <w:sz w:val="18"/>
              </w:rPr>
              <w:t>0.364</w:t>
            </w:r>
          </w:p>
        </w:tc>
        <w:tc>
          <w:tcPr>
            <w:tcW w:type="dxa" w:w="1584"/>
          </w:tcPr>
          <w:p>
            <w:r>
              <w:rPr>
                <w:sz w:val="18"/>
              </w:rPr>
              <w:t>0.365</w:t>
            </w:r>
          </w:p>
        </w:tc>
        <w:tc>
          <w:tcPr>
            <w:tcW w:type="dxa" w:w="1584"/>
          </w:tcPr>
          <w:p>
            <w:r>
              <w:rPr>
                <w:sz w:val="18"/>
              </w:rPr>
              <w:t>+0.25%</w:t>
            </w:r>
          </w:p>
        </w:tc>
      </w:tr>
      <w:tr>
        <w:tc>
          <w:tcPr>
            <w:tcW w:type="dxa" w:w="2880"/>
          </w:tcPr>
          <w:p>
            <w:r>
              <w:rPr>
                <w:sz w:val="18"/>
              </w:rPr>
              <w:t>SSP370 2070-2099</w:t>
            </w:r>
          </w:p>
        </w:tc>
        <w:tc>
          <w:tcPr>
            <w:tcW w:type="dxa" w:w="864"/>
          </w:tcPr>
          <w:p>
            <w:r>
              <w:rPr>
                <w:sz w:val="18"/>
              </w:rPr>
              <w:t>62</w:t>
            </w:r>
          </w:p>
        </w:tc>
        <w:tc>
          <w:tcPr>
            <w:tcW w:type="dxa" w:w="1584"/>
          </w:tcPr>
          <w:p>
            <w:r>
              <w:rPr>
                <w:sz w:val="18"/>
              </w:rPr>
              <w:t>0.557</w:t>
            </w:r>
          </w:p>
        </w:tc>
        <w:tc>
          <w:tcPr>
            <w:tcW w:type="dxa" w:w="1584"/>
          </w:tcPr>
          <w:p>
            <w:r>
              <w:rPr>
                <w:sz w:val="18"/>
              </w:rPr>
              <w:t>0.557</w:t>
            </w:r>
          </w:p>
        </w:tc>
        <w:tc>
          <w:tcPr>
            <w:tcW w:type="dxa" w:w="1584"/>
          </w:tcPr>
          <w:p>
            <w:r>
              <w:rPr>
                <w:sz w:val="18"/>
              </w:rPr>
              <w:t>+0.03%</w:t>
            </w:r>
          </w:p>
        </w:tc>
      </w:tr>
      <w:tr>
        <w:tc>
          <w:tcPr>
            <w:tcW w:type="dxa" w:w="2880"/>
          </w:tcPr>
          <w:p>
            <w:r>
              <w:rPr>
                <w:sz w:val="18"/>
              </w:rPr>
              <w:t>SSP585 2070-2099</w:t>
            </w:r>
          </w:p>
        </w:tc>
        <w:tc>
          <w:tcPr>
            <w:tcW w:type="dxa" w:w="864"/>
          </w:tcPr>
          <w:p>
            <w:r>
              <w:rPr>
                <w:sz w:val="18"/>
              </w:rPr>
              <w:t>15</w:t>
            </w:r>
          </w:p>
        </w:tc>
        <w:tc>
          <w:tcPr>
            <w:tcW w:type="dxa" w:w="1584"/>
          </w:tcPr>
          <w:p>
            <w:r>
              <w:rPr>
                <w:sz w:val="18"/>
              </w:rPr>
              <w:t>0.741</w:t>
            </w:r>
          </w:p>
        </w:tc>
        <w:tc>
          <w:tcPr>
            <w:tcW w:type="dxa" w:w="1584"/>
          </w:tcPr>
          <w:p>
            <w:r>
              <w:rPr>
                <w:sz w:val="18"/>
              </w:rPr>
              <w:t>0.742</w:t>
            </w:r>
          </w:p>
        </w:tc>
        <w:tc>
          <w:tcPr>
            <w:tcW w:type="dxa" w:w="1584"/>
          </w:tcPr>
          <w:p>
            <w:r>
              <w:rPr>
                <w:sz w:val="18"/>
              </w:rPr>
              <w:t>+0.08%</w:t>
            </w:r>
          </w:p>
        </w:tc>
      </w:tr>
    </w:tbl>
    <w:p/>
    <w:p>
      <w:r>
        <w:t>The largest disagreement between the two orders is 0.34%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Revised_M_Roxburgh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Revised_M_Roxburgh.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273</w:t>
            </w:r>
          </w:p>
        </w:tc>
        <w:tc>
          <w:tcPr>
            <w:tcW w:type="dxa" w:w="1728"/>
          </w:tcPr>
          <w:p>
            <w:r>
              <w:rPr>
                <w:sz w:val="18"/>
              </w:rPr>
              <w:t>0.35</w:t>
            </w:r>
          </w:p>
        </w:tc>
        <w:tc>
          <w:tcPr>
            <w:tcW w:type="dxa" w:w="1728"/>
          </w:tcPr>
          <w:p>
            <w:r>
              <w:rPr>
                <w:sz w:val="18"/>
              </w:rPr>
              <w:t>0.13</w:t>
            </w:r>
          </w:p>
        </w:tc>
      </w:tr>
      <w:tr>
        <w:tc>
          <w:tcPr>
            <w:tcW w:type="dxa" w:w="2304"/>
          </w:tcPr>
          <w:p>
            <w:r>
              <w:rPr>
                <w:sz w:val="18"/>
              </w:rPr>
              <w:t>verified mature</w:t>
            </w:r>
          </w:p>
        </w:tc>
        <w:tc>
          <w:tcPr>
            <w:tcW w:type="dxa" w:w="1728"/>
          </w:tcPr>
          <w:p>
            <w:r>
              <w:rPr>
                <w:sz w:val="18"/>
              </w:rPr>
              <w:t>327</w:t>
            </w:r>
          </w:p>
        </w:tc>
        <w:tc>
          <w:tcPr>
            <w:tcW w:type="dxa" w:w="1728"/>
          </w:tcPr>
          <w:p>
            <w:r>
              <w:rPr>
                <w:sz w:val="18"/>
              </w:rPr>
              <w:t>0.66</w:t>
            </w:r>
          </w:p>
        </w:tc>
        <w:tc>
          <w:tcPr>
            <w:tcW w:type="dxa" w:w="1728"/>
          </w:tcPr>
          <w:p>
            <w:r>
              <w:rPr>
                <w:sz w:val="18"/>
              </w:rPr>
              <w:t>0.34</w:t>
            </w:r>
          </w:p>
        </w:tc>
      </w:tr>
    </w:tbl>
    <w:p/>
    <w:p>
      <w:r>
        <w:t>Verified mature sites are the ones the test is really about: they are the closest thing the library has to a stand at its maximum, so their ratio is the least contaminated by immaturity.</w:t>
      </w:r>
    </w:p>
    <w:p>
      <w:pPr>
        <w:pStyle w:val="Heading2"/>
      </w:pPr>
      <w:r>
        <w:t>What the match is actually computed on</w:t>
      </w:r>
    </w:p>
    <w:p>
      <w:pPr>
        <w:pStyle w:val="Heading2"/>
      </w:pPr>
      <w:r>
        <w:t>Reconciling with the earlier bin validation</w:t>
      </w:r>
    </w:p>
    <w:p>
      <w:r>
        <w:t>An earlier validation in the parent folder reported a median ratio of 1.55 on 254 verified-mature stands, against 0.49 here. Neither is wrong; they are different quantities, and the difference decomposes cleanly on the same sites:</w:t>
      </w:r>
    </w:p>
    <w:tbl>
      <w:tblPr>
        <w:tblStyle w:val="LightGrid-Accent1"/>
        <w:tblW w:type="auto" w:w="0"/>
        <w:tblLook w:firstColumn="1" w:firstRow="1" w:lastColumn="0" w:lastRow="0" w:noHBand="0" w:noVBand="1" w:val="04A0"/>
      </w:tblPr>
      <w:tblGrid>
        <w:gridCol w:w="4320"/>
        <w:gridCol w:w="4320"/>
      </w:tblGrid>
      <w:tr>
        <w:tc>
          <w:tcPr>
            <w:tcW w:type="dxa" w:w="6624"/>
          </w:tcPr>
          <w:p>
            <w:r>
              <w:rPr>
                <w:b/>
                <w:sz w:val="18"/>
              </w:rPr>
              <w:t>step</w:t>
            </w:r>
          </w:p>
        </w:tc>
        <w:tc>
          <w:tcPr>
            <w:tcW w:type="dxa" w:w="1728"/>
          </w:tcPr>
          <w:p>
            <w:r>
              <w:rPr>
                <w:b/>
                <w:sz w:val="18"/>
              </w:rPr>
              <w:t>median ratio</w:t>
            </w:r>
          </w:p>
        </w:tc>
      </w:tr>
      <w:tr>
        <w:tc>
          <w:tcPr>
            <w:tcW w:type="dxa" w:w="6624"/>
          </w:tcPr>
          <w:p>
            <w:r>
              <w:rPr>
                <w:sz w:val="18"/>
              </w:rPr>
              <w:t>published Level 2 figure (verified mature, Eq. (1) footing)</w:t>
            </w:r>
          </w:p>
        </w:tc>
        <w:tc>
          <w:tcPr>
            <w:tcW w:type="dxa" w:w="1728"/>
          </w:tcPr>
          <w:p>
            <w:r>
              <w:rPr>
                <w:sz w:val="18"/>
              </w:rPr>
              <w:t>1.55</w:t>
            </w:r>
          </w:p>
        </w:tc>
      </w:tr>
      <w:tr>
        <w:tc>
          <w:tcPr>
            <w:tcW w:type="dxa" w:w="6624"/>
          </w:tcPr>
          <w:p>
            <w:r>
              <w:rPr>
                <w:sz w:val="18"/>
              </w:rPr>
              <w:t>reproduced here on the same footing and stratum</w:t>
            </w:r>
          </w:p>
        </w:tc>
        <w:tc>
          <w:tcPr>
            <w:tcW w:type="dxa" w:w="1728"/>
          </w:tcPr>
          <w:p>
            <w:r>
              <w:rPr>
                <w:sz w:val="18"/>
              </w:rPr>
              <w:t>1.47</w:t>
            </w:r>
          </w:p>
        </w:tc>
      </w:tr>
      <w:tr>
        <w:tc>
          <w:tcPr>
            <w:tcW w:type="dxa" w:w="6624"/>
          </w:tcPr>
          <w:p>
            <w:r>
              <w:rPr>
                <w:sz w:val="18"/>
              </w:rPr>
              <w:t>retire the Eq. (1) footing, use New_M_2019</w:t>
            </w:r>
          </w:p>
        </w:tc>
        <w:tc>
          <w:tcPr>
            <w:tcW w:type="dxa" w:w="1728"/>
          </w:tcPr>
          <w:p>
            <w:r>
              <w:rPr>
                <w:sz w:val="18"/>
              </w:rPr>
              <w:t>0.95</w:t>
            </w:r>
          </w:p>
        </w:tc>
      </w:tr>
      <w:tr>
        <w:tc>
          <w:tcPr>
            <w:tcW w:type="dxa" w:w="6624"/>
          </w:tcPr>
          <w:p>
            <w:r>
              <w:rPr>
                <w:sz w:val="18"/>
              </w:rPr>
              <w:t>widen from verified-only to verified + likely mature</w:t>
            </w:r>
          </w:p>
        </w:tc>
        <w:tc>
          <w:tcPr>
            <w:tcW w:type="dxa" w:w="1728"/>
          </w:tcPr>
          <w:p>
            <w:r>
              <w:rPr>
                <w:sz w:val="18"/>
              </w:rPr>
              <w:t>0.61</w:t>
            </w:r>
          </w:p>
        </w:tc>
      </w:tr>
      <w:tr>
        <w:tc>
          <w:tcPr>
            <w:tcW w:type="dxa" w:w="6624"/>
          </w:tcPr>
          <w:p>
            <w:r>
              <w:rPr>
                <w:sz w:val="18"/>
              </w:rPr>
              <w:t>apply the AGB-versus-basal-area filter</w:t>
            </w:r>
          </w:p>
        </w:tc>
        <w:tc>
          <w:tcPr>
            <w:tcW w:type="dxa" w:w="1728"/>
          </w:tcPr>
          <w:p>
            <w:r>
              <w:rPr>
                <w:sz w:val="18"/>
              </w:rPr>
              <w:t>0.49</w:t>
            </w:r>
          </w:p>
        </w:tc>
      </w:tr>
    </w:tbl>
    <w:p/>
    <w:p>
      <w:r>
        <w:t>The single largest term is the footing. The earlier number was computed against a historical M' built on Eq. (1) applied directly, which overstates the Richards and Brack layer FullCAM ships by about 46 per cent; retiring that footing multiplies the ratio by 0.64 on its own and was a deliberate decision, not a change of result. Widening the maturity stratum contributes a further 0.65, because likely-mature stands sit on less productive land, and the data-quality filter contributes the remaining 0.81 by raising the observed median. The residual between 1.55 and the 1.47 reproduced here is the earlier run's per-cell rather than per-site aggregation and its missing planted-project filter.</w:t>
      </w:r>
    </w:p>
    <w:p>
      <w:pPr>
        <w:pStyle w:val="Heading1"/>
      </w:pPr>
      <w:r>
        <w:t>What to conclude, and what not to</w:t>
      </w:r>
    </w:p>
    <w:p>
      <w:pPr>
        <w:pStyle w:val="IntenseQuote"/>
      </w:pPr>
      <w:r>
        <w:t>The honest headline is that the present-day gate does not pass. At the site's own cell, M' is 0.49 times the observed biomass at the median - it under-predicts by about half - and ranks the sites only modestly better than a constrained random draw (Spearman ρ 0.42 against 0.20; R² in logs is negative). Everything downstream inherits that, so the eight scenario-window numbers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Revised_M_Roxburgh,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The sample is geographically narrow. The surviving sites cluster in eastern Queensland and New South Wales, with smaller groups in Tasmania and the south-west; the arid interior, the tropical north and most of South Australia are effectively unsampled. Every ratio and correlation in this report is therefore a statement about wet and sub-humid eastern forest, and carries no weight over the rangelands that make up most of the NLUM mask by area.</w:t>
      </w:r>
    </w:p>
    <w:p>
      <w:pPr>
        <w:pStyle w:val="ListBullet"/>
      </w:pPr>
      <w:r>
        <w:t>The southward displacement is a sanity check that passes. The analogues move consistently poleward and the median displacement grows with forcing, from about 36 km under SSP126 mid-century to several hundred kilometres under the late-century high-forcing runs. That is the direction and the ordering a warming climate should produce, and it is evidence the matching is finding real climate structure rather than noise - independent of whether the M' it retrieves agrees with the biomass.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