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statistic</w:t>
            </w:r>
          </w:p>
        </w:tc>
        <w:tc>
          <w:tcPr>
            <w:tcW w:type="dxa" w:w="3456"/>
          </w:tcPr>
          <w:p>
            <w:r>
              <w:rPr>
                <w:b/>
                <w:sz w:val="18"/>
              </w:rPr>
              <w:t>what it answers</w:t>
            </w:r>
          </w:p>
        </w:tc>
        <w:tc>
          <w:tcPr>
            <w:tcW w:type="dxa" w:w="1440"/>
          </w:tcPr>
          <w:p>
            <w:r>
              <w:rPr>
                <w:b/>
                <w:sz w:val="18"/>
              </w:rPr>
              <w:t>in sample</w:t>
            </w:r>
          </w:p>
        </w:tc>
        <w:tc>
          <w:tcPr>
            <w:tcW w:type="dxa" w:w="1440"/>
          </w:tcPr>
          <w:p>
            <w:r>
              <w:rPr>
                <w:b/>
                <w:sz w:val="18"/>
              </w:rPr>
              <w:t>out of fold</w:t>
            </w:r>
          </w:p>
        </w:tc>
      </w:tr>
      <w:tr>
        <w:tc>
          <w:tcPr>
            <w:tcW w:type="dxa" w:w="2160"/>
          </w:tcPr>
          <w:p>
            <w:r>
              <w:rPr>
                <w:sz w:val="18"/>
              </w:rPr>
              <w:t>R² / Nash-Sutcliffe</w:t>
            </w:r>
          </w:p>
        </w:tc>
        <w:tc>
          <w:tcPr>
            <w:tcW w:type="dxa" w:w="3456"/>
          </w:tcPr>
          <w:p>
            <w:r>
              <w:rPr>
                <w:sz w:val="18"/>
              </w:rPr>
              <w:t>variance explained; 1.0 is perfect</w:t>
            </w:r>
          </w:p>
        </w:tc>
        <w:tc>
          <w:tcPr>
            <w:tcW w:type="dxa" w:w="1440"/>
          </w:tcPr>
          <w:p>
            <w:r>
              <w:rPr>
                <w:sz w:val="18"/>
              </w:rPr>
              <w:t>0.968</w:t>
            </w:r>
          </w:p>
        </w:tc>
        <w:tc>
          <w:tcPr>
            <w:tcW w:type="dxa" w:w="1440"/>
          </w:tcPr>
          <w:p>
            <w:r>
              <w:rPr>
                <w:sz w:val="18"/>
              </w:rPr>
              <w:t>0.931</w:t>
            </w:r>
          </w:p>
        </w:tc>
      </w:tr>
      <w:tr>
        <w:tc>
          <w:tcPr>
            <w:tcW w:type="dxa" w:w="2160"/>
          </w:tcPr>
          <w:p>
            <w:r>
              <w:rPr>
                <w:sz w:val="18"/>
              </w:rPr>
              <w:t>Pearson r</w:t>
            </w:r>
          </w:p>
        </w:tc>
        <w:tc>
          <w:tcPr>
            <w:tcW w:type="dxa" w:w="3456"/>
          </w:tcPr>
          <w:p>
            <w:r>
              <w:rPr>
                <w:sz w:val="18"/>
              </w:rPr>
              <w:t>correlation only; blind to a level shift</w:t>
            </w:r>
          </w:p>
        </w:tc>
        <w:tc>
          <w:tcPr>
            <w:tcW w:type="dxa" w:w="1440"/>
          </w:tcPr>
          <w:p>
            <w:r>
              <w:rPr>
                <w:sz w:val="18"/>
              </w:rPr>
              <w:t>0.984</w:t>
            </w:r>
          </w:p>
        </w:tc>
        <w:tc>
          <w:tcPr>
            <w:tcW w:type="dxa" w:w="1440"/>
          </w:tcPr>
          <w:p>
            <w:r>
              <w:rPr>
                <w:sz w:val="18"/>
              </w:rPr>
              <w:t>0.965</w:t>
            </w:r>
          </w:p>
        </w:tc>
      </w:tr>
      <w:tr>
        <w:tc>
          <w:tcPr>
            <w:tcW w:type="dxa" w:w="2160"/>
          </w:tcPr>
          <w:p>
            <w:r>
              <w:rPr>
                <w:sz w:val="18"/>
              </w:rPr>
              <w:t>RMSE (FPI units)</w:t>
            </w:r>
          </w:p>
        </w:tc>
        <w:tc>
          <w:tcPr>
            <w:tcW w:type="dxa" w:w="3456"/>
          </w:tcPr>
          <w:p>
            <w:r>
              <w:rPr>
                <w:sz w:val="18"/>
              </w:rPr>
              <w:t>typical error, large misses weighted heavily</w:t>
            </w:r>
          </w:p>
        </w:tc>
        <w:tc>
          <w:tcPr>
            <w:tcW w:type="dxa" w:w="1440"/>
          </w:tcPr>
          <w:p>
            <w:r>
              <w:rPr>
                <w:sz w:val="18"/>
              </w:rPr>
              <w:t>0.513</w:t>
            </w:r>
          </w:p>
        </w:tc>
        <w:tc>
          <w:tcPr>
            <w:tcW w:type="dxa" w:w="1440"/>
          </w:tcPr>
          <w:p>
            <w:r>
              <w:rPr>
                <w:sz w:val="18"/>
              </w:rPr>
              <w:t>0.754</w:t>
            </w:r>
          </w:p>
        </w:tc>
      </w:tr>
      <w:tr>
        <w:tc>
          <w:tcPr>
            <w:tcW w:type="dxa" w:w="2160"/>
          </w:tcPr>
          <w:p>
            <w:r>
              <w:rPr>
                <w:sz w:val="18"/>
              </w:rPr>
              <w:t>RMSE (% of observed mean)</w:t>
            </w:r>
          </w:p>
        </w:tc>
        <w:tc>
          <w:tcPr>
            <w:tcW w:type="dxa" w:w="3456"/>
          </w:tcPr>
          <w:p>
            <w:r>
              <w:rPr>
                <w:sz w:val="18"/>
              </w:rPr>
              <w:t>the same error, unit-free</w:t>
            </w:r>
          </w:p>
        </w:tc>
        <w:tc>
          <w:tcPr>
            <w:tcW w:type="dxa" w:w="1440"/>
          </w:tcPr>
          <w:p>
            <w:r>
              <w:rPr>
                <w:sz w:val="18"/>
              </w:rPr>
              <w:t>12.1</w:t>
            </w:r>
          </w:p>
        </w:tc>
        <w:tc>
          <w:tcPr>
            <w:tcW w:type="dxa" w:w="1440"/>
          </w:tcPr>
          <w:p>
            <w:r>
              <w:rPr>
                <w:sz w:val="18"/>
              </w:rPr>
              <w:t>17.7</w:t>
            </w:r>
          </w:p>
        </w:tc>
      </w:tr>
      <w:tr>
        <w:tc>
          <w:tcPr>
            <w:tcW w:type="dxa" w:w="2160"/>
          </w:tcPr>
          <w:p>
            <w:r>
              <w:rPr>
                <w:sz w:val="18"/>
              </w:rPr>
              <w:t>MAE (FPI units)</w:t>
            </w:r>
          </w:p>
        </w:tc>
        <w:tc>
          <w:tcPr>
            <w:tcW w:type="dxa" w:w="3456"/>
          </w:tcPr>
          <w:p>
            <w:r>
              <w:rPr>
                <w:sz w:val="18"/>
              </w:rPr>
              <w:t>typical error without that weighting</w:t>
            </w:r>
          </w:p>
        </w:tc>
        <w:tc>
          <w:tcPr>
            <w:tcW w:type="dxa" w:w="1440"/>
          </w:tcPr>
          <w:p>
            <w:r>
              <w:rPr>
                <w:sz w:val="18"/>
              </w:rPr>
              <w:t>0.262</w:t>
            </w:r>
          </w:p>
        </w:tc>
        <w:tc>
          <w:tcPr>
            <w:tcW w:type="dxa" w:w="1440"/>
          </w:tcPr>
          <w:p>
            <w:r>
              <w:rPr>
                <w:sz w:val="18"/>
              </w:rPr>
              <w:t>0.548</w:t>
            </w:r>
          </w:p>
        </w:tc>
      </w:tr>
      <w:tr>
        <w:tc>
          <w:tcPr>
            <w:tcW w:type="dxa" w:w="2160"/>
          </w:tcPr>
          <w:p>
            <w:r>
              <w:rPr>
                <w:sz w:val="18"/>
              </w:rPr>
              <w:t>bias (FPI units)</w:t>
            </w:r>
          </w:p>
        </w:tc>
        <w:tc>
          <w:tcPr>
            <w:tcW w:type="dxa" w:w="3456"/>
          </w:tcPr>
          <w:p>
            <w:r>
              <w:rPr>
                <w:sz w:val="18"/>
              </w:rPr>
              <w:t>mean of modelled minus observed</w:t>
            </w:r>
          </w:p>
        </w:tc>
        <w:tc>
          <w:tcPr>
            <w:tcW w:type="dxa" w:w="1440"/>
          </w:tcPr>
          <w:p>
            <w:r>
              <w:rPr>
                <w:sz w:val="18"/>
              </w:rPr>
              <w:t>+0.0019</w:t>
            </w:r>
          </w:p>
        </w:tc>
        <w:tc>
          <w:tcPr>
            <w:tcW w:type="dxa" w:w="1440"/>
          </w:tcPr>
          <w:p>
            <w:r>
              <w:rPr>
                <w:sz w:val="18"/>
              </w:rPr>
              <w:t>+0.0040</w:t>
            </w:r>
          </w:p>
        </w:tc>
      </w:tr>
      <w:tr>
        <w:tc>
          <w:tcPr>
            <w:tcW w:type="dxa" w:w="2160"/>
          </w:tcPr>
          <w:p>
            <w:r>
              <w:rPr>
                <w:sz w:val="18"/>
              </w:rPr>
              <w:t>bias (%)</w:t>
            </w:r>
          </w:p>
        </w:tc>
        <w:tc>
          <w:tcPr>
            <w:tcW w:type="dxa" w:w="3456"/>
          </w:tcPr>
          <w:p>
            <w:r>
              <w:rPr>
                <w:sz w:val="18"/>
              </w:rPr>
              <w:t>the same as a share of the observed mean</w:t>
            </w:r>
          </w:p>
        </w:tc>
        <w:tc>
          <w:tcPr>
            <w:tcW w:type="dxa" w:w="1440"/>
          </w:tcPr>
          <w:p>
            <w:r>
              <w:rPr>
                <w:sz w:val="18"/>
              </w:rPr>
              <w:t>+0.045</w:t>
            </w:r>
          </w:p>
        </w:tc>
        <w:tc>
          <w:tcPr>
            <w:tcW w:type="dxa" w:w="1440"/>
          </w:tcPr>
          <w:p>
            <w:r>
              <w:rPr>
                <w:sz w:val="18"/>
              </w:rPr>
              <w:t>+0.094</w:t>
            </w:r>
          </w:p>
        </w:tc>
      </w:tr>
      <w:tr>
        <w:tc>
          <w:tcPr>
            <w:tcW w:type="dxa" w:w="2160"/>
          </w:tcPr>
          <w:p>
            <w:r>
              <w:rPr>
                <w:sz w:val="18"/>
              </w:rPr>
              <w:t>OLS slope</w:t>
            </w:r>
          </w:p>
        </w:tc>
        <w:tc>
          <w:tcPr>
            <w:tcW w:type="dxa" w:w="3456"/>
          </w:tcPr>
          <w:p>
            <w:r>
              <w:rPr>
                <w:sz w:val="18"/>
              </w:rPr>
              <w:t>1.0 means no compression of the range</w:t>
            </w:r>
          </w:p>
        </w:tc>
        <w:tc>
          <w:tcPr>
            <w:tcW w:type="dxa" w:w="1440"/>
          </w:tcPr>
          <w:p>
            <w:r>
              <w:rPr>
                <w:sz w:val="18"/>
              </w:rPr>
              <w:t>0.955</w:t>
            </w:r>
          </w:p>
        </w:tc>
        <w:tc>
          <w:tcPr>
            <w:tcW w:type="dxa" w:w="1440"/>
          </w:tcPr>
          <w:p>
            <w:r>
              <w:rPr>
                <w:sz w:val="18"/>
              </w:rPr>
              <w:t>0.905</w:t>
            </w:r>
          </w:p>
        </w:tc>
      </w:tr>
      <w:tr>
        <w:tc>
          <w:tcPr>
            <w:tcW w:type="dxa" w:w="2160"/>
          </w:tcPr>
          <w:p>
            <w:r>
              <w:rPr>
                <w:sz w:val="18"/>
              </w:rPr>
              <w:t>OLS intercept</w:t>
            </w:r>
          </w:p>
        </w:tc>
        <w:tc>
          <w:tcPr>
            <w:tcW w:type="dxa" w:w="3456"/>
          </w:tcPr>
          <w:p>
            <w:r>
              <w:rPr>
                <w:sz w:val="18"/>
              </w:rPr>
              <w:t>with slope &lt; 1, the regression-to-the-mean pair</w:t>
            </w:r>
          </w:p>
        </w:tc>
        <w:tc>
          <w:tcPr>
            <w:tcW w:type="dxa" w:w="1440"/>
          </w:tcPr>
          <w:p>
            <w:r>
              <w:rPr>
                <w:sz w:val="18"/>
              </w:rPr>
              <w:t>0.195</w:t>
            </w:r>
          </w:p>
        </w:tc>
        <w:tc>
          <w:tcPr>
            <w:tcW w:type="dxa" w:w="1440"/>
          </w:tcPr>
          <w:p>
            <w:r>
              <w:rPr>
                <w:sz w:val="18"/>
              </w:rPr>
              <w:t>0.410</w:t>
            </w:r>
          </w:p>
        </w:tc>
      </w:tr>
      <w:tr>
        <w:tc>
          <w:tcPr>
            <w:tcW w:type="dxa" w:w="2160"/>
          </w:tcPr>
          <w:p>
            <w:r>
              <w:rPr>
                <w:sz w:val="18"/>
              </w:rPr>
              <w:t>Lin's concordance</w:t>
            </w:r>
          </w:p>
        </w:tc>
        <w:tc>
          <w:tcPr>
            <w:tcW w:type="dxa" w:w="3456"/>
          </w:tcPr>
          <w:p>
            <w:r>
              <w:rPr>
                <w:sz w:val="18"/>
              </w:rPr>
              <w:t>correlation AND agreement with 1:1</w:t>
            </w:r>
          </w:p>
        </w:tc>
        <w:tc>
          <w:tcPr>
            <w:tcW w:type="dxa" w:w="1440"/>
          </w:tcPr>
          <w:p>
            <w:r>
              <w:rPr>
                <w:sz w:val="18"/>
              </w:rPr>
              <w:t>0.983</w:t>
            </w:r>
          </w:p>
        </w:tc>
        <w:tc>
          <w:tcPr>
            <w:tcW w:type="dxa" w:w="1440"/>
          </w:tcPr>
          <w:p>
            <w:r>
              <w:rPr>
                <w:sz w:val="18"/>
              </w:rPr>
              <w:t>0.963</w:t>
            </w:r>
          </w:p>
        </w:tc>
      </w:tr>
      <w:tr>
        <w:tc>
          <w:tcPr>
            <w:tcW w:type="dxa" w:w="2160"/>
          </w:tcPr>
          <w:p>
            <w:r>
              <w:rPr>
                <w:sz w:val="18"/>
              </w:rPr>
              <w:t>Willmott's d</w:t>
            </w:r>
          </w:p>
        </w:tc>
        <w:tc>
          <w:tcPr>
            <w:tcW w:type="dxa" w:w="3456"/>
          </w:tcPr>
          <w:p>
            <w:r>
              <w:rPr>
                <w:sz w:val="18"/>
              </w:rPr>
              <w:t>index of agreement, 0-1, robust to outliers</w:t>
            </w:r>
          </w:p>
        </w:tc>
        <w:tc>
          <w:tcPr>
            <w:tcW w:type="dxa" w:w="1440"/>
          </w:tcPr>
          <w:p>
            <w:r>
              <w:rPr>
                <w:sz w:val="18"/>
              </w:rPr>
              <w:t>0.992</w:t>
            </w:r>
          </w:p>
        </w:tc>
        <w:tc>
          <w:tcPr>
            <w:tcW w:type="dxa" w:w="1440"/>
          </w:tcPr>
          <w:p>
            <w:r>
              <w:rPr>
                <w:sz w:val="18"/>
              </w:rPr>
              <w:t>0.981</w:t>
            </w:r>
          </w:p>
        </w:tc>
      </w:tr>
      <w:tr>
        <w:tc>
          <w:tcPr>
            <w:tcW w:type="dxa" w:w="2160"/>
          </w:tcPr>
          <w:p>
            <w:r>
              <w:rPr>
                <w:sz w:val="18"/>
              </w:rPr>
              <w:t>observed mean, sd</w:t>
            </w:r>
          </w:p>
        </w:tc>
        <w:tc>
          <w:tcPr>
            <w:tcW w:type="dxa" w:w="3456"/>
          </w:tcPr>
          <w:p>
            <w:r>
              <w:rPr>
                <w:sz w:val="18"/>
              </w:rPr>
              <w:t>the reference distribution</w:t>
            </w:r>
          </w:p>
        </w:tc>
        <w:tc>
          <w:tcPr>
            <w:tcW w:type="dxa" w:w="1440"/>
          </w:tcPr>
          <w:p>
            <w:r>
              <w:rPr>
                <w:sz w:val="18"/>
              </w:rPr>
              <w:t>4.26, 2.86</w:t>
            </w:r>
          </w:p>
        </w:tc>
        <w:tc>
          <w:tcPr>
            <w:tcW w:type="dxa" w:w="1440"/>
          </w:tcPr>
          <w:p>
            <w:r>
              <w:rPr>
                <w:sz w:val="18"/>
              </w:rPr>
              <w:t>4.26, 2.86</w:t>
            </w:r>
          </w:p>
        </w:tc>
      </w:tr>
      <w:tr>
        <w:tc>
          <w:tcPr>
            <w:tcW w:type="dxa" w:w="2160"/>
          </w:tcPr>
          <w:p>
            <w:r>
              <w:rPr>
                <w:sz w:val="18"/>
              </w:rPr>
              <w:t>modelled mean, sd</w:t>
            </w:r>
          </w:p>
        </w:tc>
        <w:tc>
          <w:tcPr>
            <w:tcW w:type="dxa" w:w="3456"/>
          </w:tcPr>
          <w:p>
            <w:r>
              <w:rPr>
                <w:sz w:val="18"/>
              </w:rPr>
              <w:t>narrower sd = the forest smooths extremes</w:t>
            </w:r>
          </w:p>
        </w:tc>
        <w:tc>
          <w:tcPr>
            <w:tcW w:type="dxa" w:w="1440"/>
          </w:tcPr>
          <w:p>
            <w:r>
              <w:rPr>
                <w:sz w:val="18"/>
              </w:rPr>
              <w:t>4.26, 2.77</w:t>
            </w:r>
          </w:p>
        </w:tc>
        <w:tc>
          <w:tcPr>
            <w:tcW w:type="dxa" w:w="1440"/>
          </w:tcPr>
          <w:p>
            <w:r>
              <w:rPr>
                <w:sz w:val="18"/>
              </w:rPr>
              <w:t>4.26, 2.68</w:t>
            </w:r>
          </w:p>
        </w:tc>
      </w:tr>
      <w:tr>
        <w:tc>
          <w:tcPr>
            <w:tcW w:type="dxa" w:w="2160"/>
          </w:tcPr>
          <w:p>
            <w:r>
              <w:rPr>
                <w:sz w:val="18"/>
              </w:rPr>
              <w:t>n</w:t>
            </w:r>
          </w:p>
        </w:tc>
        <w:tc>
          <w:tcPr>
            <w:tcW w:type="dxa" w:w="3456"/>
          </w:tcPr>
          <w:p>
            <w:r>
              <w:rPr>
                <w:sz w:val="18"/>
              </w:rPr>
              <w:t>cell-years compared</w:t>
            </w:r>
          </w:p>
        </w:tc>
        <w:tc>
          <w:tcPr>
            <w:tcW w:type="dxa" w:w="1440"/>
          </w:tcPr>
          <w:p>
            <w:r>
              <w:rPr>
                <w:sz w:val="18"/>
              </w:rPr>
              <w:t>1,500,000</w:t>
            </w:r>
          </w:p>
        </w:tc>
        <w:tc>
          <w:tcPr>
            <w:tcW w:type="dxa" w:w="1440"/>
          </w:tcPr>
          <w:p>
            <w:r>
              <w:rPr>
                <w:sz w:val="18"/>
              </w:rPr>
              <w:t>2,086,920</w:t>
            </w:r>
          </w:p>
        </w:tc>
      </w:tr>
    </w:tbl>
    <w:p/>
    <w:p>
      <w:r>
        <w:t>These are the statistics for Figure 1a and 1b. Two of them deserve comment. The OLS slope is 0.955 in sample and 0.905 out of fold, with a positive intercept in both: the forest compresses the range slightly, over-predicting the lowest cells and under-predicting the highest, which is what a tree ensemble does by construction because it averages over leaves and cannot extrapolate. The modelled standard deviation is correspondingly smaller than the observed one (2.68 against 2.86 out of fold). Neither is large enough to distort the ratio M' is built from, since the same compression appears in the numerator and the denominator, but both should be stated rather than left to the R².</w:t>
      </w:r>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r>
        <w:t>Figure 1a plots the random forest's FPI against the observed DCCEEW FPI. The x axis is the observed value for one 1 km cell in one year, the y axis the forest's prediction for that same cell and year, and each hexagon counts how many cell-years fall in it — 60,000 cells drawn at random within each of the 30 years, 1.8 million points in total. It is NOT a comparison of 30-year averages; that is Figure 2. The dashed line is 1:1, so a point above it means the forest predicted more productivity than was observed. The statistics printed on the panel are in sample, meaning these 30 years are the years the forest was trained on, so the figure shows how faithfully it reproduces its own training data.</w:t>
      </w:r>
    </w:p>
    <w:p>
      <w:r>
        <w:t>How it is computed: for each year, the saved forest predicts FPI at every land cell; 60,000 of those cells are drawn at random and paired with the observed value at the same cell and year; the 30 years are pooled and binned into hexagons, each shaded by how many pairs it holds. The colour scale is linear but clipped at the 98th percentile of the hexagon counts, because a handful of hexagons on the 1:1 line hold orders of magnitude more cells than the rest and would otherwise flatten the whole picture into one pale shade; the colourbar says so. The accompanying statistics over all 6,956,407 cells and 30 years are R² 0.968, RMSE 0.51 FPI units, MAE 0.26 and bias +0.002 — the bias being the mean of (modelled - observed), so a value this close to zero says the forest is not systematically high or low. The headline six are printed on the panel itself; the full set, including Lin's concordance and Willmott's d, is in the table above.</w:t>
      </w:r>
    </w:p>
    <w:p>
      <w:r>
        <w:t>How to read it: the band should hug the dashed 1:1 line. It does so tightly below about FPI 4, which is most of the continent, and fans out above it, where fewer cells and larger values make each prediction harder. Points above the line are years and places where the forest predicted more productivity than was observed.</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Random forest FPI against observed DCCEEW FPI, all 30 years, linear axes and linear hexbin density.</w:t>
      </w:r>
    </w:p>
    <w:p>
      <w:r>
        <w:t>Figure 1b splits that by year and adds the number that matters. The blue line is the same in-sample fit, one R² per year. The orange line is the out-of-fold result: for each year, the prediction comes from a forest trained on the other 24 years, so that year was unseen. The vertical gap between the lines is the cost of predicting a year the model has not met, which is exactly what the projection to 2035-2099 asks of it. The orange line is therefore the accuracy to quote, and it is the lower one.</w:t>
      </w:r>
    </w:p>
    <w:p>
      <w:r>
        <w:t>How it is computed: the blue point for a year is the R² of the saved forest's prediction against the observed layer for that year, over the full grid. The orange point comes from the year-group cross-validation already run in Random_forest_CSIRO/Step_03, where the 30 years are split into five folds of six years; each year is predicted by the forest fitted to the other 24. Pooled, blue gives R² 0.968 and orange 0.931, and no year departs from its line by enough to change that reading.</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in sample against out of fold.</w:t>
      </w:r>
    </w:p>
    <w:p>
      <w:pPr>
        <w:jc w:val="center"/>
      </w:pPr>
      <w:r>
        <w:drawing>
          <wp:inline xmlns:a="http://schemas.openxmlformats.org/drawingml/2006/main" xmlns:pic="http://schemas.openxmlformats.org/drawingml/2006/picture">
            <wp:extent cx="5852160" cy="4530705"/>
            <wp:docPr id="3" name="Picture 3"/>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r>
        <w:t>Figure 2 is the same comparison in space rather than in points. Panel (a) averages the 30 observed annual FPI layers, panel (b) averages the 30 modelled ones, and both use one colour scale so they can be read against each other directly. Panel (c) subtracts one from the other: red means the forest sits above the observation at that cell, blue below, and the scale is symmetric about zero so the two directions cannot be confused. What to look for is whether the residual has structure. It does not: the difference is fine-grained and scattered along the forested east, south-west and Tasmania rather than forming large regions of one sign, which is what a systematic failure would look like.</w:t>
      </w:r>
    </w:p>
    <w:p>
      <w:r>
        <w:t>How it is computed: panel (a) is the cell-wise mean of the 30 observed annual FPI rasters, panel (b) the cell-wise mean of the 30 modelled ones, and panel (c) is (b) minus (a). Panels (a) and (b) share one colour scale so they can be compared directly; panel (c) uses a diverging scale centred on zero, symmetric so that equal errors in either direction look equally large.</w:t>
      </w:r>
    </w:p>
    <w:p>
      <w:pPr>
        <w:jc w:val="center"/>
      </w:pPr>
      <w:r>
        <w:drawing>
          <wp:inline xmlns:a="http://schemas.openxmlformats.org/drawingml/2006/main" xmlns:pic="http://schemas.openxmlformats.org/drawingml/2006/picture">
            <wp:extent cx="5852160" cy="2020974"/>
            <wp:docPr id="4" name="Picture 4"/>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20974"/>
                    </a:xfrm>
                    <a:prstGeom prst="rect"/>
                  </pic:spPr>
                </pic:pic>
              </a:graphicData>
            </a:graphic>
          </wp:inline>
        </w:drawing>
      </w:r>
    </w:p>
    <w:p>
      <w:pPr>
        <w:jc w:val="left"/>
      </w:pPr>
      <w:r>
        <w:rPr>
          <w:i/>
          <w:color w:val="52514E"/>
          <w:sz w:val="17"/>
        </w:rPr>
        <w:t>Figure 2. Mean FPI 1985-2014: observed (a), modelled (b), and their difference (c).</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Revised_M_Roxburgh,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r>
        <w:t>Figure 4 compares Revised_M_Roxburgh — the revised maximum biomass layer of Roxburgh et al. (2019), which is the historical maxAbgM input FullCAM reads — against the future M' this work produces. Each bar is the median over the NLUM mask of 100 x (M' - Revised_M_Roxburgh) / Revised_M_Roxburgh for one scenario and one 30-year window, so a bar at -10 means the typical cell carries ten per cent less potential biomass than the layer FullCAM uses today. The two colours are two different historical denominators: blue divides by Eq. (1) of the FPI downloaded from DCCEEW, orange by Eq. (1) of the FPI the random forest models for the same 30 years. Orange is what this work uses, because then the historical and the future FPI come from one model and its bias cancels out of the ratio.</w:t>
      </w:r>
    </w:p>
    <w:p>
      <w:r>
        <w:t>Figure 4a is the method: the 30 annual FPI are averaged first and Eq. (1) is applied to that mean, on both sides. The two colours nearly coincide, which is the expected result — the denominator swap is worth less than a per cent — and it doubles as a check on the arithmetic. Figure 4b repeats it with Eq. (1) applied per year and the results averaged; the bars deepen by about one percentage point throughout, which is the Jensen gap of Figure 3c arriving in the answer.</w:t>
      </w:r>
    </w:p>
    <w:p>
      <w:pPr>
        <w:jc w:val="center"/>
      </w:pPr>
      <w:r>
        <w:drawing>
          <wp:inline xmlns:a="http://schemas.openxmlformats.org/drawingml/2006/main" xmlns:pic="http://schemas.openxmlformats.org/drawingml/2006/picture">
            <wp:extent cx="5852160" cy="3948204"/>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2"/>
                    <a:stretch>
                      <a:fillRect/>
                    </a:stretch>
                  </pic:blipFill>
                  <pic:spPr>
                    <a:xfrm>
                      <a:off x="0" y="0"/>
                      <a:ext cx="5852160" cy="3948204"/>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948204"/>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3"/>
                    <a:stretch>
                      <a:fillRect/>
                    </a:stretch>
                  </pic:blipFill>
                  <pic:spPr>
                    <a:xfrm>
                      <a:off x="0" y="0"/>
                      <a:ext cx="5852160" cy="3948204"/>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r>
        <w:t>Figure 5 is the same quantity as Figure 4, cell by cell instead of summarised to a median: 100 x (M' - Revised_M_Roxburgh) / Revised_M_Roxburgh for each of the eight scenario-windows, on one diverging scale centred on zero, so blue is a loss of potential biomass against today's layer and red a gain. The rows are the two windows and the columns the four scenarios, which makes the two readings easy to separate: down a column is the passage of time under one scenario, across a row is the choice of scenario at one time. Losses dominate the forested east, the south-west and Tasmania. The red patches are arid interior cells where M' is only a few tonnes per hectare, so a large percentage is a small absolute change — which is why Figure 4 quotes medians and the comparison section also reports totals in Mt DM.</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4"/>
                    <a:stretch>
                      <a:fillRect/>
                    </a:stretch>
                  </pic:blipFill>
                  <pic:spPr>
                    <a:xfrm>
                      <a:off x="0" y="0"/>
                      <a:ext cx="5852160" cy="2780599"/>
                    </a:xfrm>
                    <a:prstGeom prst="rect"/>
                  </pic:spPr>
                </pic:pic>
              </a:graphicData>
            </a:graphic>
          </wp:inline>
        </w:drawing>
      </w:r>
    </w:p>
    <w:p>
      <w:pPr>
        <w:jc w:val="left"/>
      </w:pPr>
      <w:r>
        <w:rPr>
          <w:i/>
          <w:color w:val="52514E"/>
          <w:sz w:val="17"/>
        </w:rPr>
        <w:t>Figure 5. Projected change in M' against Revised_M_Roxburgh, per cell, for each scenario and window.</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Revised_M_Roxburgh</w:t>
      </w:r>
    </w:p>
    <w:p>
      <w:r>
        <w:t>Revised_M_Roxburgh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Revised_M_Roxburgh,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Revised_M_Roxburgh),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Revised_M_Roxburgh)²),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Revised_M_Roxburgh|,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Revised_M_Roxburgh</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Revised_M_Roxburgh</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r>
        <w:t>How Figures 6 and 7 are computed. For one scenario-window, the 30 annual M' rasters are read and, at every cell, the standard deviation across those 30 values is divided by their mean and expressed as a percentage. The historical panel is the same calculation on the 30 modelled historical years. Figure 6 maps those nine layers on one colour scale, set by the typical spread rather than the largest tail so that no single panel washes the others out; the median of each panel is printed under its title. Figure 7 subtracts the historical layer from each future one, so its unit is percentage points and its scale is diverging about zero: blue means less year-to-year variability than the historical period, red more.</w:t>
      </w:r>
    </w:p>
    <w:p>
      <w:r>
        <w:t>How to read them. The level is what to notice first in Figure 6 — around 45-48% everywhere — and the direction in Figure 7, which is negative in all eight panels. White cells in Figure 6 are where the 30-year mean falls below 1 t DM ha⁻¹ and a ratio stops being meaningful, not missing data.</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5"/>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6"/>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r>
        <w:t>Figure 8 changes what varies. At each cell the four SSP window-mean M' values are taken, and their standard deviation is divided by their mean — so this is the spread the choice of scenario produces, holding the year fixed, while Figure 6 was the spread the year produces, holding the scenario fixed. Panel (c) places the medians of both side by side, which is the only fair way to compare them.</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7"/>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Revised_M_Roxburgh,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r>
        <w:t>Figure 9 is the cell-by-cell comparison. The x axis is Revised_M_Roxburgh at a cell, the y axis the future M' at the same cell, and the hexagon shading counts cells; the dashed line is 1:1, so anything below it loses potential biomass. A delta-change method cannot move a cell far off that line, which is why the statistics below matter more than the picture: the correlation is high by construction and it is the slope and the bias that carry the information. Each panel carries r, slope, bias, RMSE and MAE for that scenario-window; the same numbers are tabulated below.</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96"/>
          </w:tcPr>
          <w:p>
            <w:r>
              <w:rPr>
                <w:b/>
                <w:sz w:val="18"/>
              </w:rPr>
              <w:t>scenario</w:t>
            </w:r>
          </w:p>
        </w:tc>
        <w:tc>
          <w:tcPr>
            <w:tcW w:type="dxa" w:w="1440"/>
          </w:tcPr>
          <w:p>
            <w:r>
              <w:rPr>
                <w:b/>
                <w:sz w:val="18"/>
              </w:rPr>
              <w:t>window</w:t>
            </w:r>
          </w:p>
        </w:tc>
        <w:tc>
          <w:tcPr>
            <w:tcW w:type="dxa" w:w="1296"/>
          </w:tcPr>
          <w:p>
            <w:r>
              <w:rPr>
                <w:b/>
                <w:sz w:val="18"/>
              </w:rPr>
              <w:t>Pearson r</w:t>
            </w:r>
          </w:p>
        </w:tc>
        <w:tc>
          <w:tcPr>
            <w:tcW w:type="dxa" w:w="1296"/>
          </w:tcPr>
          <w:p>
            <w:r>
              <w:rPr>
                <w:b/>
                <w:sz w:val="18"/>
              </w:rPr>
              <w:t>OLS slope</w:t>
            </w:r>
          </w:p>
        </w:tc>
        <w:tc>
          <w:tcPr>
            <w:tcW w:type="dxa" w:w="1584"/>
          </w:tcPr>
          <w:p>
            <w:r>
              <w:rPr>
                <w:b/>
                <w:sz w:val="18"/>
              </w:rPr>
              <w:t>bias (t DM/ha)</w:t>
            </w:r>
          </w:p>
        </w:tc>
        <w:tc>
          <w:tcPr>
            <w:tcW w:type="dxa" w:w="1008"/>
          </w:tcPr>
          <w:p>
            <w:r>
              <w:rPr>
                <w:b/>
                <w:sz w:val="18"/>
              </w:rPr>
              <w:t>RMSE</w:t>
            </w:r>
          </w:p>
        </w:tc>
        <w:tc>
          <w:tcPr>
            <w:tcW w:type="dxa" w:w="1440"/>
          </w:tcPr>
          <w:p>
            <w:r>
              <w:rPr>
                <w:b/>
                <w:sz w:val="18"/>
              </w:rPr>
              <w:t>% cells down</w:t>
            </w:r>
          </w:p>
        </w:tc>
      </w:tr>
      <w:tr>
        <w:tc>
          <w:tcPr>
            <w:tcW w:type="dxa" w:w="1296"/>
          </w:tcPr>
          <w:p>
            <w:r>
              <w:rPr>
                <w:sz w:val="18"/>
              </w:rPr>
              <w:t>SSP126</w:t>
            </w:r>
          </w:p>
        </w:tc>
        <w:tc>
          <w:tcPr>
            <w:tcW w:type="dxa" w:w="1440"/>
          </w:tcPr>
          <w:p>
            <w:r>
              <w:rPr>
                <w:sz w:val="18"/>
              </w:rPr>
              <w:t>2035-2064</w:t>
            </w:r>
          </w:p>
        </w:tc>
        <w:tc>
          <w:tcPr>
            <w:tcW w:type="dxa" w:w="1296"/>
          </w:tcPr>
          <w:p>
            <w:r>
              <w:rPr>
                <w:sz w:val="18"/>
              </w:rPr>
              <w:t>0.997</w:t>
            </w:r>
          </w:p>
        </w:tc>
        <w:tc>
          <w:tcPr>
            <w:tcW w:type="dxa" w:w="1296"/>
          </w:tcPr>
          <w:p>
            <w:r>
              <w:rPr>
                <w:sz w:val="18"/>
              </w:rPr>
              <w:t>1.012</w:t>
            </w:r>
          </w:p>
        </w:tc>
        <w:tc>
          <w:tcPr>
            <w:tcW w:type="dxa" w:w="1584"/>
          </w:tcPr>
          <w:p>
            <w:r>
              <w:rPr>
                <w:sz w:val="18"/>
              </w:rPr>
              <w:t>-0.97</w:t>
            </w:r>
          </w:p>
        </w:tc>
        <w:tc>
          <w:tcPr>
            <w:tcW w:type="dxa" w:w="1008"/>
          </w:tcPr>
          <w:p>
            <w:r>
              <w:rPr>
                <w:sz w:val="18"/>
              </w:rPr>
              <w:t>5.9</w:t>
            </w:r>
          </w:p>
        </w:tc>
        <w:tc>
          <w:tcPr>
            <w:tcW w:type="dxa" w:w="1440"/>
          </w:tcPr>
          <w:p>
            <w:r>
              <w:rPr>
                <w:sz w:val="18"/>
              </w:rPr>
              <w:t>64</w:t>
            </w:r>
          </w:p>
        </w:tc>
      </w:tr>
      <w:tr>
        <w:tc>
          <w:tcPr>
            <w:tcW w:type="dxa" w:w="1296"/>
          </w:tcPr>
          <w:p>
            <w:r>
              <w:rPr>
                <w:sz w:val="18"/>
              </w:rPr>
              <w:t>SSP245</w:t>
            </w:r>
          </w:p>
        </w:tc>
        <w:tc>
          <w:tcPr>
            <w:tcW w:type="dxa" w:w="1440"/>
          </w:tcPr>
          <w:p>
            <w:r>
              <w:rPr>
                <w:sz w:val="18"/>
              </w:rPr>
              <w:t>2035-2064</w:t>
            </w:r>
          </w:p>
        </w:tc>
        <w:tc>
          <w:tcPr>
            <w:tcW w:type="dxa" w:w="1296"/>
          </w:tcPr>
          <w:p>
            <w:r>
              <w:rPr>
                <w:sz w:val="18"/>
              </w:rPr>
              <w:t>0.996</w:t>
            </w:r>
          </w:p>
        </w:tc>
        <w:tc>
          <w:tcPr>
            <w:tcW w:type="dxa" w:w="1296"/>
          </w:tcPr>
          <w:p>
            <w:r>
              <w:rPr>
                <w:sz w:val="18"/>
              </w:rPr>
              <w:t>1.036</w:t>
            </w:r>
          </w:p>
        </w:tc>
        <w:tc>
          <w:tcPr>
            <w:tcW w:type="dxa" w:w="1584"/>
          </w:tcPr>
          <w:p>
            <w:r>
              <w:rPr>
                <w:sz w:val="18"/>
              </w:rPr>
              <w:t>-1.96</w:t>
            </w:r>
          </w:p>
        </w:tc>
        <w:tc>
          <w:tcPr>
            <w:tcW w:type="dxa" w:w="1008"/>
          </w:tcPr>
          <w:p>
            <w:r>
              <w:rPr>
                <w:sz w:val="18"/>
              </w:rPr>
              <w:t>8.3</w:t>
            </w:r>
          </w:p>
        </w:tc>
        <w:tc>
          <w:tcPr>
            <w:tcW w:type="dxa" w:w="1440"/>
          </w:tcPr>
          <w:p>
            <w:r>
              <w:rPr>
                <w:sz w:val="18"/>
              </w:rPr>
              <w:t>79</w:t>
            </w:r>
          </w:p>
        </w:tc>
      </w:tr>
      <w:tr>
        <w:tc>
          <w:tcPr>
            <w:tcW w:type="dxa" w:w="1296"/>
          </w:tcPr>
          <w:p>
            <w:r>
              <w:rPr>
                <w:sz w:val="18"/>
              </w:rPr>
              <w:t>SSP370</w:t>
            </w:r>
          </w:p>
        </w:tc>
        <w:tc>
          <w:tcPr>
            <w:tcW w:type="dxa" w:w="1440"/>
          </w:tcPr>
          <w:p>
            <w:r>
              <w:rPr>
                <w:sz w:val="18"/>
              </w:rPr>
              <w:t>2035-2064</w:t>
            </w:r>
          </w:p>
        </w:tc>
        <w:tc>
          <w:tcPr>
            <w:tcW w:type="dxa" w:w="1296"/>
          </w:tcPr>
          <w:p>
            <w:r>
              <w:rPr>
                <w:sz w:val="18"/>
              </w:rPr>
              <w:t>0.996</w:t>
            </w:r>
          </w:p>
        </w:tc>
        <w:tc>
          <w:tcPr>
            <w:tcW w:type="dxa" w:w="1296"/>
          </w:tcPr>
          <w:p>
            <w:r>
              <w:rPr>
                <w:sz w:val="18"/>
              </w:rPr>
              <w:t>1.031</w:t>
            </w:r>
          </w:p>
        </w:tc>
        <w:tc>
          <w:tcPr>
            <w:tcW w:type="dxa" w:w="1584"/>
          </w:tcPr>
          <w:p>
            <w:r>
              <w:rPr>
                <w:sz w:val="18"/>
              </w:rPr>
              <w:t>-0.92</w:t>
            </w:r>
          </w:p>
        </w:tc>
        <w:tc>
          <w:tcPr>
            <w:tcW w:type="dxa" w:w="1008"/>
          </w:tcPr>
          <w:p>
            <w:r>
              <w:rPr>
                <w:sz w:val="18"/>
              </w:rPr>
              <w:t>7.6</w:t>
            </w:r>
          </w:p>
        </w:tc>
        <w:tc>
          <w:tcPr>
            <w:tcW w:type="dxa" w:w="1440"/>
          </w:tcPr>
          <w:p>
            <w:r>
              <w:rPr>
                <w:sz w:val="18"/>
              </w:rPr>
              <w:t>69</w:t>
            </w:r>
          </w:p>
        </w:tc>
      </w:tr>
      <w:tr>
        <w:tc>
          <w:tcPr>
            <w:tcW w:type="dxa" w:w="1296"/>
          </w:tcPr>
          <w:p>
            <w:r>
              <w:rPr>
                <w:sz w:val="18"/>
              </w:rPr>
              <w:t>SSP585</w:t>
            </w:r>
          </w:p>
        </w:tc>
        <w:tc>
          <w:tcPr>
            <w:tcW w:type="dxa" w:w="1440"/>
          </w:tcPr>
          <w:p>
            <w:r>
              <w:rPr>
                <w:sz w:val="18"/>
              </w:rPr>
              <w:t>2035-2064</w:t>
            </w:r>
          </w:p>
        </w:tc>
        <w:tc>
          <w:tcPr>
            <w:tcW w:type="dxa" w:w="1296"/>
          </w:tcPr>
          <w:p>
            <w:r>
              <w:rPr>
                <w:sz w:val="18"/>
              </w:rPr>
              <w:t>0.995</w:t>
            </w:r>
          </w:p>
        </w:tc>
        <w:tc>
          <w:tcPr>
            <w:tcW w:type="dxa" w:w="1296"/>
          </w:tcPr>
          <w:p>
            <w:r>
              <w:rPr>
                <w:sz w:val="18"/>
              </w:rPr>
              <w:t>0.998</w:t>
            </w:r>
          </w:p>
        </w:tc>
        <w:tc>
          <w:tcPr>
            <w:tcW w:type="dxa" w:w="1584"/>
          </w:tcPr>
          <w:p>
            <w:r>
              <w:rPr>
                <w:sz w:val="18"/>
              </w:rPr>
              <w:t>-1.16</w:t>
            </w:r>
          </w:p>
        </w:tc>
        <w:tc>
          <w:tcPr>
            <w:tcW w:type="dxa" w:w="1008"/>
          </w:tcPr>
          <w:p>
            <w:r>
              <w:rPr>
                <w:sz w:val="18"/>
              </w:rPr>
              <w:t>7.7</w:t>
            </w:r>
          </w:p>
        </w:tc>
        <w:tc>
          <w:tcPr>
            <w:tcW w:type="dxa" w:w="1440"/>
          </w:tcPr>
          <w:p>
            <w:r>
              <w:rPr>
                <w:sz w:val="18"/>
              </w:rPr>
              <w:t>64</w:t>
            </w:r>
          </w:p>
        </w:tc>
      </w:tr>
      <w:tr>
        <w:tc>
          <w:tcPr>
            <w:tcW w:type="dxa" w:w="1296"/>
          </w:tcPr>
          <w:p>
            <w:r>
              <w:rPr>
                <w:sz w:val="18"/>
              </w:rPr>
              <w:t>SSP126</w:t>
            </w:r>
          </w:p>
        </w:tc>
        <w:tc>
          <w:tcPr>
            <w:tcW w:type="dxa" w:w="1440"/>
          </w:tcPr>
          <w:p>
            <w:r>
              <w:rPr>
                <w:sz w:val="18"/>
              </w:rPr>
              <w:t>2070-2099</w:t>
            </w:r>
          </w:p>
        </w:tc>
        <w:tc>
          <w:tcPr>
            <w:tcW w:type="dxa" w:w="1296"/>
          </w:tcPr>
          <w:p>
            <w:r>
              <w:rPr>
                <w:sz w:val="18"/>
              </w:rPr>
              <w:t>0.996</w:t>
            </w:r>
          </w:p>
        </w:tc>
        <w:tc>
          <w:tcPr>
            <w:tcW w:type="dxa" w:w="1296"/>
          </w:tcPr>
          <w:p>
            <w:r>
              <w:rPr>
                <w:sz w:val="18"/>
              </w:rPr>
              <w:t>1.016</w:t>
            </w:r>
          </w:p>
        </w:tc>
        <w:tc>
          <w:tcPr>
            <w:tcW w:type="dxa" w:w="1584"/>
          </w:tcPr>
          <w:p>
            <w:r>
              <w:rPr>
                <w:sz w:val="18"/>
              </w:rPr>
              <w:t>-3.40</w:t>
            </w:r>
          </w:p>
        </w:tc>
        <w:tc>
          <w:tcPr>
            <w:tcW w:type="dxa" w:w="1008"/>
          </w:tcPr>
          <w:p>
            <w:r>
              <w:rPr>
                <w:sz w:val="18"/>
              </w:rPr>
              <w:t>8.2</w:t>
            </w:r>
          </w:p>
        </w:tc>
        <w:tc>
          <w:tcPr>
            <w:tcW w:type="dxa" w:w="1440"/>
          </w:tcPr>
          <w:p>
            <w:r>
              <w:rPr>
                <w:sz w:val="18"/>
              </w:rPr>
              <w:t>88</w:t>
            </w:r>
          </w:p>
        </w:tc>
      </w:tr>
      <w:tr>
        <w:tc>
          <w:tcPr>
            <w:tcW w:type="dxa" w:w="1296"/>
          </w:tcPr>
          <w:p>
            <w:r>
              <w:rPr>
                <w:sz w:val="18"/>
              </w:rPr>
              <w:t>SSP245</w:t>
            </w:r>
          </w:p>
        </w:tc>
        <w:tc>
          <w:tcPr>
            <w:tcW w:type="dxa" w:w="1440"/>
          </w:tcPr>
          <w:p>
            <w:r>
              <w:rPr>
                <w:sz w:val="18"/>
              </w:rPr>
              <w:t>2070-2099</w:t>
            </w:r>
          </w:p>
        </w:tc>
        <w:tc>
          <w:tcPr>
            <w:tcW w:type="dxa" w:w="1296"/>
          </w:tcPr>
          <w:p>
            <w:r>
              <w:rPr>
                <w:sz w:val="18"/>
              </w:rPr>
              <w:t>0.994</w:t>
            </w:r>
          </w:p>
        </w:tc>
        <w:tc>
          <w:tcPr>
            <w:tcW w:type="dxa" w:w="1296"/>
          </w:tcPr>
          <w:p>
            <w:r>
              <w:rPr>
                <w:sz w:val="18"/>
              </w:rPr>
              <w:t>1.054</w:t>
            </w:r>
          </w:p>
        </w:tc>
        <w:tc>
          <w:tcPr>
            <w:tcW w:type="dxa" w:w="1584"/>
          </w:tcPr>
          <w:p>
            <w:r>
              <w:rPr>
                <w:sz w:val="18"/>
              </w:rPr>
              <w:t>-0.05</w:t>
            </w:r>
          </w:p>
        </w:tc>
        <w:tc>
          <w:tcPr>
            <w:tcW w:type="dxa" w:w="1008"/>
          </w:tcPr>
          <w:p>
            <w:r>
              <w:rPr>
                <w:sz w:val="18"/>
              </w:rPr>
              <w:t>10.3</w:t>
            </w:r>
          </w:p>
        </w:tc>
        <w:tc>
          <w:tcPr>
            <w:tcW w:type="dxa" w:w="1440"/>
          </w:tcPr>
          <w:p>
            <w:r>
              <w:rPr>
                <w:sz w:val="18"/>
              </w:rPr>
              <w:t>65</w:t>
            </w:r>
          </w:p>
        </w:tc>
      </w:tr>
      <w:tr>
        <w:tc>
          <w:tcPr>
            <w:tcW w:type="dxa" w:w="1296"/>
          </w:tcPr>
          <w:p>
            <w:r>
              <w:rPr>
                <w:sz w:val="18"/>
              </w:rPr>
              <w:t>SSP370</w:t>
            </w:r>
          </w:p>
        </w:tc>
        <w:tc>
          <w:tcPr>
            <w:tcW w:type="dxa" w:w="1440"/>
          </w:tcPr>
          <w:p>
            <w:r>
              <w:rPr>
                <w:sz w:val="18"/>
              </w:rPr>
              <w:t>2070-2099</w:t>
            </w:r>
          </w:p>
        </w:tc>
        <w:tc>
          <w:tcPr>
            <w:tcW w:type="dxa" w:w="1296"/>
          </w:tcPr>
          <w:p>
            <w:r>
              <w:rPr>
                <w:sz w:val="18"/>
              </w:rPr>
              <w:t>0.987</w:t>
            </w:r>
          </w:p>
        </w:tc>
        <w:tc>
          <w:tcPr>
            <w:tcW w:type="dxa" w:w="1296"/>
          </w:tcPr>
          <w:p>
            <w:r>
              <w:rPr>
                <w:sz w:val="18"/>
              </w:rPr>
              <w:t>1.057</w:t>
            </w:r>
          </w:p>
        </w:tc>
        <w:tc>
          <w:tcPr>
            <w:tcW w:type="dxa" w:w="1584"/>
          </w:tcPr>
          <w:p>
            <w:r>
              <w:rPr>
                <w:sz w:val="18"/>
              </w:rPr>
              <w:t>-4.31</w:t>
            </w:r>
          </w:p>
        </w:tc>
        <w:tc>
          <w:tcPr>
            <w:tcW w:type="dxa" w:w="1008"/>
          </w:tcPr>
          <w:p>
            <w:r>
              <w:rPr>
                <w:sz w:val="18"/>
              </w:rPr>
              <w:t>15.0</w:t>
            </w:r>
          </w:p>
        </w:tc>
        <w:tc>
          <w:tcPr>
            <w:tcW w:type="dxa" w:w="1440"/>
          </w:tcPr>
          <w:p>
            <w:r>
              <w:rPr>
                <w:sz w:val="18"/>
              </w:rPr>
              <w:t>87</w:t>
            </w:r>
          </w:p>
        </w:tc>
      </w:tr>
      <w:tr>
        <w:tc>
          <w:tcPr>
            <w:tcW w:type="dxa" w:w="1296"/>
          </w:tcPr>
          <w:p>
            <w:r>
              <w:rPr>
                <w:sz w:val="18"/>
              </w:rPr>
              <w:t>SSP585</w:t>
            </w:r>
          </w:p>
        </w:tc>
        <w:tc>
          <w:tcPr>
            <w:tcW w:type="dxa" w:w="1440"/>
          </w:tcPr>
          <w:p>
            <w:r>
              <w:rPr>
                <w:sz w:val="18"/>
              </w:rPr>
              <w:t>2070-2099</w:t>
            </w:r>
          </w:p>
        </w:tc>
        <w:tc>
          <w:tcPr>
            <w:tcW w:type="dxa" w:w="1296"/>
          </w:tcPr>
          <w:p>
            <w:r>
              <w:rPr>
                <w:sz w:val="18"/>
              </w:rPr>
              <w:t>0.983</w:t>
            </w:r>
          </w:p>
        </w:tc>
        <w:tc>
          <w:tcPr>
            <w:tcW w:type="dxa" w:w="1296"/>
          </w:tcPr>
          <w:p>
            <w:r>
              <w:rPr>
                <w:sz w:val="18"/>
              </w:rPr>
              <w:t>1.042</w:t>
            </w:r>
          </w:p>
        </w:tc>
        <w:tc>
          <w:tcPr>
            <w:tcW w:type="dxa" w:w="1584"/>
          </w:tcPr>
          <w:p>
            <w:r>
              <w:rPr>
                <w:sz w:val="18"/>
              </w:rPr>
              <w:t>-4.99</w:t>
            </w:r>
          </w:p>
        </w:tc>
        <w:tc>
          <w:tcPr>
            <w:tcW w:type="dxa" w:w="1008"/>
          </w:tcPr>
          <w:p>
            <w:r>
              <w:rPr>
                <w:sz w:val="18"/>
              </w:rPr>
              <w:t>16.2</w:t>
            </w:r>
          </w:p>
        </w:tc>
        <w:tc>
          <w:tcPr>
            <w:tcW w:type="dxa" w:w="1440"/>
          </w:tcPr>
          <w:p>
            <w:r>
              <w:rPr>
                <w:sz w:val="18"/>
              </w:rPr>
              <w:t>88</w:t>
            </w:r>
          </w:p>
        </w:tc>
      </w:tr>
    </w:tbl>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Revised_M_Roxburgh.png"/>
                    <pic:cNvPicPr/>
                  </pic:nvPicPr>
                  <pic:blipFill>
                    <a:blip r:embed="rId18"/>
                    <a:stretch>
                      <a:fillRect/>
                    </a:stretch>
                  </pic:blipFill>
                  <pic:spPr>
                    <a:xfrm>
                      <a:off x="0" y="0"/>
                      <a:ext cx="5852160" cy="2900330"/>
                    </a:xfrm>
                    <a:prstGeom prst="rect"/>
                  </pic:spPr>
                </pic:pic>
              </a:graphicData>
            </a:graphic>
          </wp:inline>
        </w:drawing>
      </w:r>
    </w:p>
    <w:p>
      <w:pPr>
        <w:jc w:val="left"/>
      </w:pPr>
      <w:r>
        <w:rPr>
          <w:i/>
          <w:color w:val="52514E"/>
          <w:sz w:val="17"/>
        </w:rPr>
        <w:t>Figure 9. M' against Revised_M_Roxburgh,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r>
        <w:t>Figure 10 aggregates. Each cell's M' in t DM ha⁻¹ is multiplied by that cell's area in hectares and summed over the NLUM mask, giving Mt DM. The area is not constant: cells are 0.01° geographic, so their width shrinks with latitude as cos(lat), and ignoring that over-weights the south by several per cent. Panel (a) shows the totals against the reference line, panel (b) the same as a percentage change. This is a carrying-capacity total, not an inventory — M' is what a site could carry at maturity, not what stands there now.</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19"/>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Revised_M_Roxburgh reference line.</w:t>
      </w:r>
    </w:p>
    <w:p>
      <w:pPr>
        <w:jc w:val="center"/>
      </w:pPr>
      <w:r>
        <w:drawing>
          <wp:inline xmlns:a="http://schemas.openxmlformats.org/drawingml/2006/main" xmlns:pic="http://schemas.openxmlformats.org/drawingml/2006/picture">
            <wp:extent cx="5852160" cy="4367138"/>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0"/>
                    <a:stretch>
                      <a:fillRect/>
                    </a:stretch>
                  </pic:blipFill>
                  <pic:spPr>
                    <a:xfrm>
                      <a:off x="0" y="0"/>
                      <a:ext cx="5852160" cy="4367138"/>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Revised_M_Roxburgh, which is a single static layer. The spatial CV does: sd over cells divided by the mean over cells, one number per map. It rises from 169.8% for Revised_M_Roxburgh to 174.7-201.8% across the eight scenario-windows, so the projection makes the map more uneven rather than less — the losses are concentrated, not spread evenly, which is the same thing the decile figure says from the other direction.</w:t>
      </w:r>
    </w:p>
    <w:p>
      <w:r>
        <w:t>A note on the name: this report and its figures call the reference Revised_M_Roxburgh, the revised maximum biomass layer of Roxburgh et al. (2019). The file on disk keeps its released name, New_M_2019_NLUM.tif, and the CSV columns keep New_M_2019 as their key, so the two names refer to one layer throughout.</w:t>
      </w:r>
    </w:p>
    <w:p>
      <w:r>
        <w:t>How Figure 14 is computed: for one layer, the standard deviation over all cells divided by the mean over all cells. One number per map, so it can be formed for Revised_M_Roxburgh too, which is why this is the CV that compares the projection with the reference. Panel (b) expresses each as a percentage change against the reference value.</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1"/>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Revised_M_Roxburgh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2"/>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Revised_M_Roxburgh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r>
        <w:t>Figure 11 asks where in the distribution the change falls. Cells are sorted by their Revised_M_Roxburgh value and split into ten equal groups; within each group the median percentage change is taken. Decile 1 is the lowest-biomass tenth of the domain and decile 10 the highest. The curve falls and then rises, so the deepest relative losses are in the low and middle deciles and the shallowest in the top one. In absolute tonnes the ordering reverses, because decile 10 holds most of the biomass; that is why Figure 10 and Figure 11 can look like they disagree when they do not.</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3"/>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Revised_M_Roxburgh,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Revised_M_Roxburgh reference line. The baseline bar sits exactly on the line because averaging the modelled historical years returns Revised_M_Roxburgh by construction; every other bar is a projection, and all eight fall below it, from 15.4 to 20.1 t DM ha⁻¹ against 20.43.</w:t>
      </w:r>
    </w:p>
    <w:p>
      <w:r>
        <w:t>The percentages printed inside the bars are the shift in the median — median(M') against median(Revised_M_Roxburgh)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4"/>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Revised_M_Roxburgh.</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