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Space-for-time validation of M' against the National Biomass Library</w:t>
      </w:r>
    </w:p>
    <w:p>
      <w:r>
        <w:rPr>
          <w:color w:val="52514E"/>
          <w:sz w:val="18"/>
        </w:rPr>
        <w:t>Validation_M/National_biomass_library/Space_time_validation · generated 2026-09-21 · M' with every component of the ratio produced by the random forest · averaging order: mean of the annual Eq. (1) M</w:t>
      </w:r>
    </w:p>
    <w:p>
      <w:pPr>
        <w:pStyle w:val="Heading1"/>
      </w:pPr>
      <w:r>
        <w:t>The test</w:t>
      </w:r>
    </w:p>
    <w:p>
      <w:r>
        <w:t>Each National Biomass Library site has an observed above-ground biomass and a historical climate. Find the future grid cell whose FPI predictors most closely resemble that site's historical predictors, and check whether the M' projected for that cell matches the biomass the site actually carries. If it does, the chain climate → FPI → Eq. (1) → λ is transporting a climate signal correctly rather than interpolating inside the range it was fitted on.</w:t>
      </w:r>
    </w:p>
    <w:p>
      <w:r>
        <w:t>The M' validated here is the PER-YEAR variant: Eq. (1) applied to each annual FPI and the results averaged, on both sides of the ratio, from FPI_Accuracy_check/output_Mprime_rf/mean_of_annual/. It is the sensitivity, not the method. The method - Eq. (1) of the window-mean FPI - is validated in the unsuffixed report, and the two agree to within 0.73% of the median ratio in every run.</w:t>
      </w:r>
    </w:p>
    <w:p>
      <w:r>
        <w:t>Two dataframes, as specified. Dataframe 1 is the reference table: one row per NBL site, restricted to mature vegetation with good data, carrying X, Y and all 174 predictors that feed FPI at that location — 83 soil bands and 91 climate features on the 1985-2014 climatology. Dataframe 2 is the future table: one row per future grid cell with the same columns, built once per scenario-window, plus the M' projected there. A ninth table repeats the exercise on the historical climate, which supplies the standardisation, the principal components and the first control.</w:t>
      </w:r>
    </w:p>
    <w:p>
      <w:pPr>
        <w:pStyle w:val="Heading2"/>
      </w:pPr>
      <w:r>
        <w:t>What this can and cannot show</w:t>
      </w:r>
    </w:p>
    <w:p>
      <w:pPr>
        <w:pStyle w:val="IntenseQuote"/>
      </w:pPr>
      <w:r>
        <w:t>M is the maximum biomass a mature undisturbed stand attains; an observed AGB is one stand at one moment. For any stand short of its maximum, observed &lt; M. The filtering removes the worst of that — production estates, plantings, stands with high dead basal area, small plots — but the library records no stand age, so it cannot be removed entirely. The asymmetry that follows is the key to reading every number below: M' above the observation is expected and is weak evidence of a problem, while M' below the observation cannot be explained by immaturity and is the stronger signal.</w:t>
      </w:r>
    </w:p>
    <w:p>
      <w:r>
        <w:t>There is also a circularity to name. λ is DCCEEW's Revised_M_Roxburgh ÷ Original_M_2004, and Revised_M_Roxburgh is itself the output of a random forest fitted to NBL plots. Sites in that fit are not independent of M', so this is a consistency check on the transport of a climate signal, not an independent validation of the level. The present-day control below is where that shows up most directly.</w:t>
      </w:r>
    </w:p>
    <w:p>
      <w:pPr>
        <w:pStyle w:val="Heading1"/>
      </w:pPr>
      <w:r>
        <w:t>Dataframe 1 — the reference table</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filter</w:t>
            </w:r>
          </w:p>
        </w:tc>
        <w:tc>
          <w:tcPr>
            <w:tcW w:type="dxa" w:w="1728"/>
          </w:tcPr>
          <w:p>
            <w:r>
              <w:rPr>
                <w:b/>
                <w:sz w:val="18"/>
              </w:rPr>
              <w:t>surviving</w:t>
            </w:r>
          </w:p>
        </w:tc>
      </w:tr>
      <w:tr>
        <w:tc>
          <w:tcPr>
            <w:tcW w:type="dxa" w:w="6336"/>
          </w:tcPr>
          <w:p>
            <w:r>
              <w:rPr>
                <w:sz w:val="18"/>
              </w:rPr>
              <w:t>all site visits</w:t>
            </w:r>
          </w:p>
        </w:tc>
        <w:tc>
          <w:tcPr>
            <w:tcW w:type="dxa" w:w="1728"/>
          </w:tcPr>
          <w:p>
            <w:r>
              <w:rPr>
                <w:sz w:val="18"/>
              </w:rPr>
              <w:t>15,904</w:t>
            </w:r>
          </w:p>
        </w:tc>
      </w:tr>
      <w:tr>
        <w:tc>
          <w:tcPr>
            <w:tcW w:type="dxa" w:w="6336"/>
          </w:tcPr>
          <w:p>
            <w:r>
              <w:rPr>
                <w:sz w:val="18"/>
              </w:rPr>
              <w:t>biomass recorded and positive</w:t>
            </w:r>
          </w:p>
        </w:tc>
        <w:tc>
          <w:tcPr>
            <w:tcW w:type="dxa" w:w="1728"/>
          </w:tcPr>
          <w:p>
            <w:r>
              <w:rPr>
                <w:sz w:val="18"/>
              </w:rPr>
              <w:t>13,599</w:t>
            </w:r>
          </w:p>
        </w:tc>
      </w:tr>
      <w:tr>
        <w:tc>
          <w:tcPr>
            <w:tcW w:type="dxa" w:w="6336"/>
          </w:tcPr>
          <w:p>
            <w:r>
              <w:rPr>
                <w:sz w:val="18"/>
              </w:rPr>
              <w:t>live basal area recorded</w:t>
            </w:r>
          </w:p>
        </w:tc>
        <w:tc>
          <w:tcPr>
            <w:tcW w:type="dxa" w:w="1728"/>
          </w:tcPr>
          <w:p>
            <w:r>
              <w:rPr>
                <w:sz w:val="18"/>
              </w:rPr>
              <w:t>13,580</w:t>
            </w:r>
          </w:p>
        </w:tc>
      </w:tr>
      <w:tr>
        <w:tc>
          <w:tcPr>
            <w:tcW w:type="dxa" w:w="6336"/>
          </w:tcPr>
          <w:p>
            <w:r>
              <w:rPr>
                <w:sz w:val="18"/>
              </w:rPr>
              <w:t>dead basal area under 20% of total</w:t>
            </w:r>
          </w:p>
        </w:tc>
        <w:tc>
          <w:tcPr>
            <w:tcW w:type="dxa" w:w="1728"/>
          </w:tcPr>
          <w:p>
            <w:r>
              <w:rPr>
                <w:sz w:val="18"/>
              </w:rPr>
              <w:t>11,189</w:t>
            </w:r>
          </w:p>
        </w:tc>
      </w:tr>
      <w:tr>
        <w:tc>
          <w:tcPr>
            <w:tcW w:type="dxa" w:w="6336"/>
          </w:tcPr>
          <w:p>
            <w:r>
              <w:rPr>
                <w:sz w:val="18"/>
              </w:rPr>
              <w:t>production estates removed</w:t>
            </w:r>
          </w:p>
        </w:tc>
        <w:tc>
          <w:tcPr>
            <w:tcW w:type="dxa" w:w="1728"/>
          </w:tcPr>
          <w:p>
            <w:r>
              <w:rPr>
                <w:sz w:val="18"/>
              </w:rPr>
              <w:t>4,482</w:t>
            </w:r>
          </w:p>
        </w:tc>
      </w:tr>
      <w:tr>
        <w:tc>
          <w:tcPr>
            <w:tcW w:type="dxa" w:w="6336"/>
          </w:tcPr>
          <w:p>
            <w:r>
              <w:rPr>
                <w:sz w:val="18"/>
              </w:rPr>
              <w:t>planted projects removed</w:t>
            </w:r>
          </w:p>
        </w:tc>
        <w:tc>
          <w:tcPr>
            <w:tcW w:type="dxa" w:w="1728"/>
          </w:tcPr>
          <w:p>
            <w:r>
              <w:rPr>
                <w:sz w:val="18"/>
              </w:rPr>
              <w:t>4,297</w:t>
            </w:r>
          </w:p>
        </w:tc>
      </w:tr>
      <w:tr>
        <w:tc>
          <w:tcPr>
            <w:tcW w:type="dxa" w:w="6336"/>
          </w:tcPr>
          <w:p>
            <w:r>
              <w:rPr>
                <w:sz w:val="18"/>
              </w:rPr>
              <w:t>measured 1985 or later</w:t>
            </w:r>
          </w:p>
        </w:tc>
        <w:tc>
          <w:tcPr>
            <w:tcW w:type="dxa" w:w="1728"/>
          </w:tcPr>
          <w:p>
            <w:r>
              <w:rPr>
                <w:sz w:val="18"/>
              </w:rPr>
              <w:t>3,778</w:t>
            </w:r>
          </w:p>
        </w:tc>
      </w:tr>
      <w:tr>
        <w:tc>
          <w:tcPr>
            <w:tcW w:type="dxa" w:w="6336"/>
          </w:tcPr>
          <w:p>
            <w:r>
              <w:rPr>
                <w:sz w:val="18"/>
              </w:rPr>
              <w:t>sampled area at least 0.05 ha</w:t>
            </w:r>
          </w:p>
        </w:tc>
        <w:tc>
          <w:tcPr>
            <w:tcW w:type="dxa" w:w="1728"/>
          </w:tcPr>
          <w:p>
            <w:r>
              <w:rPr>
                <w:sz w:val="18"/>
              </w:rPr>
              <w:t>3,399</w:t>
            </w:r>
          </w:p>
        </w:tc>
      </w:tr>
      <w:tr>
        <w:tc>
          <w:tcPr>
            <w:tcW w:type="dxa" w:w="6336"/>
          </w:tcPr>
          <w:p>
            <w:r>
              <w:rPr>
                <w:sz w:val="18"/>
              </w:rPr>
              <w:t>biomass at most 1500 Mg/ha</w:t>
            </w:r>
          </w:p>
        </w:tc>
        <w:tc>
          <w:tcPr>
            <w:tcW w:type="dxa" w:w="1728"/>
          </w:tcPr>
          <w:p>
            <w:r>
              <w:rPr>
                <w:sz w:val="18"/>
              </w:rPr>
              <w:t>3,319</w:t>
            </w:r>
          </w:p>
        </w:tc>
      </w:tr>
      <w:tr>
        <w:tc>
          <w:tcPr>
            <w:tcW w:type="dxa" w:w="6336"/>
          </w:tcPr>
          <w:p>
            <w:r>
              <w:rPr>
                <w:sz w:val="18"/>
              </w:rPr>
              <w:t>one row per site (maximum measurement)</w:t>
            </w:r>
          </w:p>
        </w:tc>
        <w:tc>
          <w:tcPr>
            <w:tcW w:type="dxa" w:w="1728"/>
          </w:tcPr>
          <w:p>
            <w:r>
              <w:rPr>
                <w:sz w:val="18"/>
              </w:rPr>
              <w:t>2,121</w:t>
            </w:r>
          </w:p>
        </w:tc>
      </w:tr>
      <w:tr>
        <w:tc>
          <w:tcPr>
            <w:tcW w:type="dxa" w:w="6336"/>
          </w:tcPr>
          <w:p>
            <w:r>
              <w:rPr>
                <w:sz w:val="18"/>
              </w:rPr>
              <w:t>inside the NLUM mask with M' and FPI</w:t>
            </w:r>
          </w:p>
        </w:tc>
        <w:tc>
          <w:tcPr>
            <w:tcW w:type="dxa" w:w="1728"/>
          </w:tcPr>
          <w:p>
            <w:r>
              <w:rPr>
                <w:sz w:val="18"/>
              </w:rPr>
              <w:t>2,120</w:t>
            </w:r>
          </w:p>
        </w:tc>
      </w:tr>
    </w:tbl>
    <w:p/>
    <w:p>
      <w:r>
        <w:t>Maturity is assigned from the tree-level table, since the site table carries no age or disturbance field: a site with at least one stem ≥ 50 cm DBH is verified mature, a largest stem of 30-50 cm is likely mature, below that is young or shrubby, and a site with no stems listed is unverified. The headline sample is verified + likely mature.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maturity class</w:t>
            </w:r>
          </w:p>
        </w:tc>
        <w:tc>
          <w:tcPr>
            <w:tcW w:type="dxa" w:w="1152"/>
          </w:tcPr>
          <w:p>
            <w:r>
              <w:rPr>
                <w:b/>
                <w:sz w:val="18"/>
              </w:rPr>
              <w:t>sites</w:t>
            </w:r>
          </w:p>
        </w:tc>
        <w:tc>
          <w:tcPr>
            <w:tcW w:type="dxa" w:w="2160"/>
          </w:tcPr>
          <w:p>
            <w:r>
              <w:rPr>
                <w:b/>
                <w:sz w:val="18"/>
              </w:rPr>
              <w:t>median AGB (Mg/ha)</w:t>
            </w:r>
          </w:p>
        </w:tc>
        <w:tc>
          <w:tcPr>
            <w:tcW w:type="dxa" w:w="2016"/>
          </w:tcPr>
          <w:p>
            <w:r>
              <w:rPr>
                <w:b/>
                <w:sz w:val="18"/>
              </w:rPr>
              <w:t>median M' today</w:t>
            </w:r>
          </w:p>
        </w:tc>
        <w:tc>
          <w:tcPr>
            <w:tcW w:type="dxa" w:w="1584"/>
          </w:tcPr>
          <w:p>
            <w:r>
              <w:rPr>
                <w:b/>
                <w:sz w:val="18"/>
              </w:rPr>
              <w:t>median FPI</w:t>
            </w:r>
          </w:p>
        </w:tc>
      </w:tr>
      <w:tr>
        <w:tc>
          <w:tcPr>
            <w:tcW w:type="dxa" w:w="2160"/>
          </w:tcPr>
          <w:p>
            <w:r>
              <w:rPr>
                <w:sz w:val="18"/>
              </w:rPr>
              <w:t>likely mature</w:t>
            </w:r>
          </w:p>
        </w:tc>
        <w:tc>
          <w:tcPr>
            <w:tcW w:type="dxa" w:w="1152"/>
          </w:tcPr>
          <w:p>
            <w:r>
              <w:rPr>
                <w:sz w:val="18"/>
              </w:rPr>
              <w:t>279</w:t>
            </w:r>
          </w:p>
        </w:tc>
        <w:tc>
          <w:tcPr>
            <w:tcW w:type="dxa" w:w="2160"/>
          </w:tcPr>
          <w:p>
            <w:r>
              <w:rPr>
                <w:sz w:val="18"/>
              </w:rPr>
              <w:t>102.96</w:t>
            </w:r>
          </w:p>
        </w:tc>
        <w:tc>
          <w:tcPr>
            <w:tcW w:type="dxa" w:w="2016"/>
          </w:tcPr>
          <w:p>
            <w:r>
              <w:rPr>
                <w:sz w:val="18"/>
              </w:rPr>
              <w:t>36.71</w:t>
            </w:r>
          </w:p>
        </w:tc>
        <w:tc>
          <w:tcPr>
            <w:tcW w:type="dxa" w:w="1584"/>
          </w:tcPr>
          <w:p>
            <w:r>
              <w:rPr>
                <w:sz w:val="18"/>
              </w:rPr>
              <w:t>5.42</w:t>
            </w:r>
          </w:p>
        </w:tc>
      </w:tr>
      <w:tr>
        <w:tc>
          <w:tcPr>
            <w:tcW w:type="dxa" w:w="2160"/>
          </w:tcPr>
          <w:p>
            <w:r>
              <w:rPr>
                <w:sz w:val="18"/>
              </w:rPr>
              <w:t>unverified</w:t>
            </w:r>
          </w:p>
        </w:tc>
        <w:tc>
          <w:tcPr>
            <w:tcW w:type="dxa" w:w="1152"/>
          </w:tcPr>
          <w:p>
            <w:r>
              <w:rPr>
                <w:sz w:val="18"/>
              </w:rPr>
              <w:t>1274</w:t>
            </w:r>
          </w:p>
        </w:tc>
        <w:tc>
          <w:tcPr>
            <w:tcW w:type="dxa" w:w="2160"/>
          </w:tcPr>
          <w:p>
            <w:r>
              <w:rPr>
                <w:sz w:val="18"/>
              </w:rPr>
              <w:t>62.68</w:t>
            </w:r>
          </w:p>
        </w:tc>
        <w:tc>
          <w:tcPr>
            <w:tcW w:type="dxa" w:w="2016"/>
          </w:tcPr>
          <w:p>
            <w:r>
              <w:rPr>
                <w:sz w:val="18"/>
              </w:rPr>
              <w:t>139.52</w:t>
            </w:r>
          </w:p>
        </w:tc>
        <w:tc>
          <w:tcPr>
            <w:tcW w:type="dxa" w:w="1584"/>
          </w:tcPr>
          <w:p>
            <w:r>
              <w:rPr>
                <w:sz w:val="18"/>
              </w:rPr>
              <w:t>7.42</w:t>
            </w:r>
          </w:p>
        </w:tc>
      </w:tr>
      <w:tr>
        <w:tc>
          <w:tcPr>
            <w:tcW w:type="dxa" w:w="2160"/>
          </w:tcPr>
          <w:p>
            <w:r>
              <w:rPr>
                <w:sz w:val="18"/>
              </w:rPr>
              <w:t>verified mature</w:t>
            </w:r>
          </w:p>
        </w:tc>
        <w:tc>
          <w:tcPr>
            <w:tcW w:type="dxa" w:w="1152"/>
          </w:tcPr>
          <w:p>
            <w:r>
              <w:rPr>
                <w:sz w:val="18"/>
              </w:rPr>
              <w:t>409</w:t>
            </w:r>
          </w:p>
        </w:tc>
        <w:tc>
          <w:tcPr>
            <w:tcW w:type="dxa" w:w="2160"/>
          </w:tcPr>
          <w:p>
            <w:r>
              <w:rPr>
                <w:sz w:val="18"/>
              </w:rPr>
              <w:t>70.21</w:t>
            </w:r>
          </w:p>
        </w:tc>
        <w:tc>
          <w:tcPr>
            <w:tcW w:type="dxa" w:w="2016"/>
          </w:tcPr>
          <w:p>
            <w:r>
              <w:rPr>
                <w:sz w:val="18"/>
              </w:rPr>
              <w:t>77.66</w:t>
            </w:r>
          </w:p>
        </w:tc>
        <w:tc>
          <w:tcPr>
            <w:tcW w:type="dxa" w:w="1584"/>
          </w:tcPr>
          <w:p>
            <w:r>
              <w:rPr>
                <w:sz w:val="18"/>
              </w:rPr>
              <w:t>7.08</w:t>
            </w:r>
          </w:p>
        </w:tc>
      </w:tr>
      <w:tr>
        <w:tc>
          <w:tcPr>
            <w:tcW w:type="dxa" w:w="2160"/>
          </w:tcPr>
          <w:p>
            <w:r>
              <w:rPr>
                <w:sz w:val="18"/>
              </w:rPr>
              <w:t>young or shrubby</w:t>
            </w:r>
          </w:p>
        </w:tc>
        <w:tc>
          <w:tcPr>
            <w:tcW w:type="dxa" w:w="1152"/>
          </w:tcPr>
          <w:p>
            <w:r>
              <w:rPr>
                <w:sz w:val="18"/>
              </w:rPr>
              <w:t>158</w:t>
            </w:r>
          </w:p>
        </w:tc>
        <w:tc>
          <w:tcPr>
            <w:tcW w:type="dxa" w:w="2160"/>
          </w:tcPr>
          <w:p>
            <w:r>
              <w:rPr>
                <w:sz w:val="18"/>
              </w:rPr>
              <w:t>80.18</w:t>
            </w:r>
          </w:p>
        </w:tc>
        <w:tc>
          <w:tcPr>
            <w:tcW w:type="dxa" w:w="2016"/>
          </w:tcPr>
          <w:p>
            <w:r>
              <w:rPr>
                <w:sz w:val="18"/>
              </w:rPr>
              <w:t>34.88</w:t>
            </w:r>
          </w:p>
        </w:tc>
        <w:tc>
          <w:tcPr>
            <w:tcW w:type="dxa" w:w="1584"/>
          </w:tcPr>
          <w:p>
            <w:r>
              <w:rPr>
                <w:sz w:val="18"/>
              </w:rPr>
              <w:t>6.01</w:t>
            </w:r>
          </w:p>
        </w:tc>
      </w:tr>
    </w:tbl>
    <w:p/>
    <w:p>
      <w:r>
        <w:t>Figure 1 shows the sample the whole test rests on. Panel (a) plots each surviving site at its longitude and latitude, coloured by maturity class, with the marker area scaled to the observed biomass so that the heavy sites are visible without a second axis. Panel (b) is the distribution of that biomass. Neither panel is a result; they are here so that the coverage and the spread of the reference set can be judged before any statistic computed from it is read. What to look for is the geography: the sites cluster along the forested east, the south-west and Tasmania, and the arid interior is almost unsampled, so conclusions drawn here do not extend there.</w:t>
      </w:r>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fig_01_reference_sites_nvis_mean_of_annual.png"/>
                    <pic:cNvPicPr/>
                  </pic:nvPicPr>
                  <pic:blipFill>
                    <a:blip r:embed="rId9"/>
                    <a:stretch>
                      <a:fillRect/>
                    </a:stretch>
                  </pic:blipFill>
                  <pic:spPr>
                    <a:xfrm>
                      <a:off x="0" y="0"/>
                      <a:ext cx="5852160" cy="2340864"/>
                    </a:xfrm>
                    <a:prstGeom prst="rect"/>
                  </pic:spPr>
                </pic:pic>
              </a:graphicData>
            </a:graphic>
          </wp:inline>
        </w:drawing>
      </w:r>
    </w:p>
    <w:p>
      <w:r>
        <w:rPr>
          <w:i/>
          <w:color w:val="52514E"/>
          <w:sz w:val="17"/>
        </w:rPr>
        <w:t>Figure 1. The reference sites: where they are, and what they carry.</w:t>
      </w:r>
    </w:p>
    <w:p>
      <w:pPr>
        <w:pStyle w:val="Heading2"/>
      </w:pPr>
      <w:r>
        <w:t>Where FPI enters, and where it deliberately does not</w:t>
      </w:r>
    </w:p>
    <w:p>
      <w:r>
        <w:t>FPI has three distinct roles here, and they are easy to conflate.</w:t>
      </w:r>
    </w:p>
    <w:p>
      <w:pPr>
        <w:pStyle w:val="ListBullet"/>
      </w:pPr>
      <w:r>
        <w:t>It is inside the quantity being tested. M' is Eq. (1) of the modelled FPI, rescaled by lambda and Original_M_2004, so FPI drives everything the comparison judges.</w:t>
      </w:r>
    </w:p>
    <w:p>
      <w:pPr>
        <w:pStyle w:val="ListBullet"/>
      </w:pPr>
      <w:r>
        <w:t>It is carried as a column and used for one control. The reference table holds fpi_hist, the forest's modelled 1985-2014 mean FPI at each site; the future tables hold the projected window-mean FPI; and every match records the FPI of the cell it was matched to. fpi_hist also feeds the Eq. (1)-footing control, which is how the 1.22 figure in the gate section is produced.</w:t>
      </w:r>
    </w:p>
    <w:p>
      <w:pPr>
        <w:pStyle w:val="ListBullet"/>
      </w:pPr>
      <w:r>
        <w:t>It is NOT a matching variable, on purpose. The match runs on the 174 random-forest predictors - 83 soil bands and 91 climate features - never on FPI itself.</w:t>
      </w:r>
    </w:p>
    <w:p>
      <w:r>
        <w:t>The third point is the one that decides what this test is worth. M' is a deterministic function of FPI through Eq. (1) and lambda, so matching sites to cells on FPI would pair each site with a cell that already carries almost the same M' by construction, and the exercise would collapse into a restatement of the present-day gate. Matching on climate and soil instead exercises the whole chain: whether the forest turns a future climate into a sensible FPI, whether Eq. (1) turns that FPI into a sensible biomass, and whether lambda transports the result onto the footing FullCAM reads. FPI is what is being tested, not what the test matches on.</w:t>
      </w:r>
    </w:p>
    <w:p>
      <w:pPr>
        <w:pStyle w:val="Heading1"/>
      </w:pPr>
      <w:r>
        <w:t>The match</w:t>
      </w:r>
    </w:p>
    <w:p>
      <w:r>
        <w:t>All 174 predictors are standardised by the historical land-cell mean and standard deviation, so the reference and the future sit in one comparable space, then projected onto the principal components of that same historical sample. PCA is not cosmetic: the raw predictors are strongly collinear — twelve monthly temperatures move together — so plain Euclidean distance would count one physical signal a dozen times and let 83 soil columns outvote the climate. Each site is then matched to its nearest future cell in that space with a k-d tree.</w:t>
      </w:r>
    </w:p>
    <w:p>
      <w:r>
        <w:t>A site whose nearest future cell is further away than historical cells typically are from each other (the 99th percentile of within-historical nearest-neighbour distance) is flagged as having no analogue and is reported separately rather than silently matched. Forcing a match onto a climate the future does not contain would manufacture agreement or disagreement out of nothing.</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Pr>
                <w:b/>
                <w:sz w:val="18"/>
              </w:rPr>
              <w:t>run</w:t>
            </w:r>
          </w:p>
        </w:tc>
        <w:tc>
          <w:tcPr>
            <w:tcW w:type="dxa" w:w="1728"/>
          </w:tcPr>
          <w:p>
            <w:r>
              <w:rPr>
                <w:b/>
                <w:sz w:val="18"/>
              </w:rPr>
              <w:t>no analogue</w:t>
            </w:r>
          </w:p>
        </w:tc>
        <w:tc>
          <w:tcPr>
            <w:tcW w:type="dxa" w:w="1440"/>
          </w:tcPr>
          <w:p>
            <w:r>
              <w:rPr>
                <w:b/>
                <w:sz w:val="18"/>
              </w:rPr>
              <w:t>sites</w:t>
            </w:r>
          </w:p>
        </w:tc>
      </w:tr>
      <w:tr>
        <w:tc>
          <w:tcPr>
            <w:tcW w:type="dxa" w:w="3456"/>
          </w:tcPr>
          <w:p>
            <w:r>
              <w:rPr>
                <w:sz w:val="18"/>
              </w:rPr>
              <w:t>present-day analogue</w:t>
            </w:r>
          </w:p>
        </w:tc>
        <w:tc>
          <w:tcPr>
            <w:tcW w:type="dxa" w:w="1728"/>
          </w:tcPr>
          <w:p>
            <w:r>
              <w:rPr>
                <w:sz w:val="18"/>
              </w:rPr>
              <w:t>5.1%</w:t>
            </w:r>
          </w:p>
        </w:tc>
        <w:tc>
          <w:tcPr>
            <w:tcW w:type="dxa" w:w="1440"/>
          </w:tcPr>
          <w:p>
            <w:r>
              <w:rPr>
                <w:sz w:val="18"/>
              </w:rPr>
              <w:t>688</w:t>
            </w:r>
          </w:p>
        </w:tc>
      </w:tr>
      <w:tr>
        <w:tc>
          <w:tcPr>
            <w:tcW w:type="dxa" w:w="3456"/>
          </w:tcPr>
          <w:p>
            <w:r>
              <w:rPr>
                <w:sz w:val="18"/>
              </w:rPr>
              <w:t>random cells (null)</w:t>
            </w:r>
          </w:p>
        </w:tc>
        <w:tc>
          <w:tcPr>
            <w:tcW w:type="dxa" w:w="1728"/>
          </w:tcPr>
          <w:p>
            <w:r>
              <w:rPr>
                <w:sz w:val="18"/>
              </w:rPr>
              <w:t>0.0%</w:t>
            </w:r>
          </w:p>
        </w:tc>
        <w:tc>
          <w:tcPr>
            <w:tcW w:type="dxa" w:w="1440"/>
          </w:tcPr>
          <w:p>
            <w:r>
              <w:rPr>
                <w:sz w:val="18"/>
              </w:rPr>
              <w:t>688</w:t>
            </w:r>
          </w:p>
        </w:tc>
      </w:tr>
      <w:tr>
        <w:tc>
          <w:tcPr>
            <w:tcW w:type="dxa" w:w="3456"/>
          </w:tcPr>
          <w:p>
            <w:r>
              <w:rPr>
                <w:sz w:val="18"/>
              </w:rPr>
              <w:t>SSP126 2035-2064</w:t>
            </w:r>
          </w:p>
        </w:tc>
        <w:tc>
          <w:tcPr>
            <w:tcW w:type="dxa" w:w="1728"/>
          </w:tcPr>
          <w:p>
            <w:r>
              <w:rPr>
                <w:sz w:val="18"/>
              </w:rPr>
              <w:t>9.6%</w:t>
            </w:r>
          </w:p>
        </w:tc>
        <w:tc>
          <w:tcPr>
            <w:tcW w:type="dxa" w:w="1440"/>
          </w:tcPr>
          <w:p>
            <w:r>
              <w:rPr>
                <w:sz w:val="18"/>
              </w:rPr>
              <w:t>688</w:t>
            </w:r>
          </w:p>
        </w:tc>
      </w:tr>
      <w:tr>
        <w:tc>
          <w:tcPr>
            <w:tcW w:type="dxa" w:w="3456"/>
          </w:tcPr>
          <w:p>
            <w:r>
              <w:rPr>
                <w:sz w:val="18"/>
              </w:rPr>
              <w:t>SSP126 2070-2099</w:t>
            </w:r>
          </w:p>
        </w:tc>
        <w:tc>
          <w:tcPr>
            <w:tcW w:type="dxa" w:w="1728"/>
          </w:tcPr>
          <w:p>
            <w:r>
              <w:rPr>
                <w:sz w:val="18"/>
              </w:rPr>
              <w:t>12.4%</w:t>
            </w:r>
          </w:p>
        </w:tc>
        <w:tc>
          <w:tcPr>
            <w:tcW w:type="dxa" w:w="1440"/>
          </w:tcPr>
          <w:p>
            <w:r>
              <w:rPr>
                <w:sz w:val="18"/>
              </w:rPr>
              <w:t>688</w:t>
            </w:r>
          </w:p>
        </w:tc>
      </w:tr>
      <w:tr>
        <w:tc>
          <w:tcPr>
            <w:tcW w:type="dxa" w:w="3456"/>
          </w:tcPr>
          <w:p>
            <w:r>
              <w:rPr>
                <w:sz w:val="18"/>
              </w:rPr>
              <w:t>SSP245 2035-2064</w:t>
            </w:r>
          </w:p>
        </w:tc>
        <w:tc>
          <w:tcPr>
            <w:tcW w:type="dxa" w:w="1728"/>
          </w:tcPr>
          <w:p>
            <w:r>
              <w:rPr>
                <w:sz w:val="18"/>
              </w:rPr>
              <w:t>11.0%</w:t>
            </w:r>
          </w:p>
        </w:tc>
        <w:tc>
          <w:tcPr>
            <w:tcW w:type="dxa" w:w="1440"/>
          </w:tcPr>
          <w:p>
            <w:r>
              <w:rPr>
                <w:sz w:val="18"/>
              </w:rPr>
              <w:t>688</w:t>
            </w:r>
          </w:p>
        </w:tc>
      </w:tr>
      <w:tr>
        <w:tc>
          <w:tcPr>
            <w:tcW w:type="dxa" w:w="3456"/>
          </w:tcPr>
          <w:p>
            <w:r>
              <w:rPr>
                <w:sz w:val="18"/>
              </w:rPr>
              <w:t>SSP245 2070-2099</w:t>
            </w:r>
          </w:p>
        </w:tc>
        <w:tc>
          <w:tcPr>
            <w:tcW w:type="dxa" w:w="1728"/>
          </w:tcPr>
          <w:p>
            <w:r>
              <w:rPr>
                <w:sz w:val="18"/>
              </w:rPr>
              <w:t>55.8%</w:t>
            </w:r>
          </w:p>
        </w:tc>
        <w:tc>
          <w:tcPr>
            <w:tcW w:type="dxa" w:w="1440"/>
          </w:tcPr>
          <w:p>
            <w:r>
              <w:rPr>
                <w:sz w:val="18"/>
              </w:rPr>
              <w:t>688</w:t>
            </w:r>
          </w:p>
        </w:tc>
      </w:tr>
      <w:tr>
        <w:tc>
          <w:tcPr>
            <w:tcW w:type="dxa" w:w="3456"/>
          </w:tcPr>
          <w:p>
            <w:r>
              <w:rPr>
                <w:sz w:val="18"/>
              </w:rPr>
              <w:t>SSP370 2035-2064</w:t>
            </w:r>
          </w:p>
        </w:tc>
        <w:tc>
          <w:tcPr>
            <w:tcW w:type="dxa" w:w="1728"/>
          </w:tcPr>
          <w:p>
            <w:r>
              <w:rPr>
                <w:sz w:val="18"/>
              </w:rPr>
              <w:t>15.1%</w:t>
            </w:r>
          </w:p>
        </w:tc>
        <w:tc>
          <w:tcPr>
            <w:tcW w:type="dxa" w:w="1440"/>
          </w:tcPr>
          <w:p>
            <w:r>
              <w:rPr>
                <w:sz w:val="18"/>
              </w:rPr>
              <w:t>688</w:t>
            </w:r>
          </w:p>
        </w:tc>
      </w:tr>
      <w:tr>
        <w:tc>
          <w:tcPr>
            <w:tcW w:type="dxa" w:w="3456"/>
          </w:tcPr>
          <w:p>
            <w:r>
              <w:rPr>
                <w:sz w:val="18"/>
              </w:rPr>
              <w:t>SSP370 2070-2099</w:t>
            </w:r>
          </w:p>
        </w:tc>
        <w:tc>
          <w:tcPr>
            <w:tcW w:type="dxa" w:w="1728"/>
          </w:tcPr>
          <w:p>
            <w:r>
              <w:rPr>
                <w:sz w:val="18"/>
              </w:rPr>
              <w:t>90.0%</w:t>
            </w:r>
          </w:p>
        </w:tc>
        <w:tc>
          <w:tcPr>
            <w:tcW w:type="dxa" w:w="1440"/>
          </w:tcPr>
          <w:p>
            <w:r>
              <w:rPr>
                <w:sz w:val="18"/>
              </w:rPr>
              <w:t>688</w:t>
            </w:r>
          </w:p>
        </w:tc>
      </w:tr>
      <w:tr>
        <w:tc>
          <w:tcPr>
            <w:tcW w:type="dxa" w:w="3456"/>
          </w:tcPr>
          <w:p>
            <w:r>
              <w:rPr>
                <w:sz w:val="18"/>
              </w:rPr>
              <w:t>SSP585 2035-2064</w:t>
            </w:r>
          </w:p>
        </w:tc>
        <w:tc>
          <w:tcPr>
            <w:tcW w:type="dxa" w:w="1728"/>
          </w:tcPr>
          <w:p>
            <w:r>
              <w:rPr>
                <w:sz w:val="18"/>
              </w:rPr>
              <w:t>21.2%</w:t>
            </w:r>
          </w:p>
        </w:tc>
        <w:tc>
          <w:tcPr>
            <w:tcW w:type="dxa" w:w="1440"/>
          </w:tcPr>
          <w:p>
            <w:r>
              <w:rPr>
                <w:sz w:val="18"/>
              </w:rPr>
              <w:t>688</w:t>
            </w:r>
          </w:p>
        </w:tc>
      </w:tr>
      <w:tr>
        <w:tc>
          <w:tcPr>
            <w:tcW w:type="dxa" w:w="3456"/>
          </w:tcPr>
          <w:p>
            <w:r>
              <w:rPr>
                <w:sz w:val="18"/>
              </w:rPr>
              <w:t>SSP585 2070-2099</w:t>
            </w:r>
          </w:p>
        </w:tc>
        <w:tc>
          <w:tcPr>
            <w:tcW w:type="dxa" w:w="1728"/>
          </w:tcPr>
          <w:p>
            <w:r>
              <w:rPr>
                <w:sz w:val="18"/>
              </w:rPr>
              <w:t>97.7%</w:t>
            </w:r>
          </w:p>
        </w:tc>
        <w:tc>
          <w:tcPr>
            <w:tcW w:type="dxa" w:w="1440"/>
          </w:tcPr>
          <w:p>
            <w:r>
              <w:rPr>
                <w:sz w:val="18"/>
              </w:rPr>
              <w:t>688</w:t>
            </w:r>
          </w:p>
        </w:tc>
      </w:tr>
    </w:tbl>
    <w:p/>
    <w:p>
      <w:r>
        <w:t>Figure 3 asks whether the matching worked before any biomass is compared. Panel (a) is the distance, in the standardised principal component space, between each site and the cell chosen for it: the grey histogram is the present-day control, the blue one the eight future runs pooled. Panel (b) counts, per run, the sites whose nearest candidate is further away than the 99th percentile of the distance between historical cells — the no-analogue flag. Panel (c) is the great-circle distance from the site to its analogue in kilometres, a diagnostic rather than a criterion, since a good climate analogue may legitimately sit far away.</w:t>
      </w:r>
    </w:p>
    <w:p>
      <w:r>
        <w:t>How to read it: the blue histogram sitting to the right of the grey one means future climates are harder to match than present-day ones, which is expected and is the point of the exercise. Panel (b) is the one to check before quoting any late-century run.</w:t>
      </w:r>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fig_03_match_quality_nvis_mean_of_annual.png"/>
                    <pic:cNvPicPr/>
                  </pic:nvPicPr>
                  <pic:blipFill>
                    <a:blip r:embed="rId10"/>
                    <a:stretch>
                      <a:fillRect/>
                    </a:stretch>
                  </pic:blipFill>
                  <pic:spPr>
                    <a:xfrm>
                      <a:off x="0" y="0"/>
                      <a:ext cx="5852160" cy="1950720"/>
                    </a:xfrm>
                    <a:prstGeom prst="rect"/>
                  </pic:spPr>
                </pic:pic>
              </a:graphicData>
            </a:graphic>
          </wp:inline>
        </w:drawing>
      </w:r>
    </w:p>
    <w:p>
      <w:r>
        <w:rPr>
          <w:i/>
          <w:color w:val="52514E"/>
          <w:sz w:val="17"/>
        </w:rPr>
        <w:t>Figure 3. Match quality: how close the analogue is in predictor space, how often the future has no counterpart at all, and how far away on the ground the analogue sits.</w:t>
      </w:r>
    </w:p>
    <w:p>
      <w:pPr>
        <w:pStyle w:val="Heading1"/>
      </w:pPr>
      <w:r>
        <w:t>The statistics, and why each is here</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Pr>
                <w:b/>
                <w:sz w:val="18"/>
              </w:rPr>
              <w:t>statistic</w:t>
            </w:r>
          </w:p>
        </w:tc>
        <w:tc>
          <w:tcPr>
            <w:tcW w:type="dxa" w:w="2880"/>
          </w:tcPr>
          <w:p>
            <w:r>
              <w:rPr>
                <w:b/>
                <w:sz w:val="18"/>
              </w:rPr>
              <w:t>definition</w:t>
            </w:r>
          </w:p>
        </w:tc>
        <w:tc>
          <w:tcPr>
            <w:tcW w:type="dxa" w:w="4320"/>
          </w:tcPr>
          <w:p>
            <w:r>
              <w:rPr>
                <w:b/>
                <w:sz w:val="18"/>
              </w:rPr>
              <w:t>what it is for</w:t>
            </w:r>
          </w:p>
        </w:tc>
      </w:tr>
      <w:tr>
        <w:tc>
          <w:tcPr>
            <w:tcW w:type="dxa" w:w="1872"/>
          </w:tcPr>
          <w:p>
            <w:r>
              <w:rPr>
                <w:sz w:val="18"/>
              </w:rPr>
              <w:t>median ratio</w:t>
            </w:r>
          </w:p>
        </w:tc>
        <w:tc>
          <w:tcPr>
            <w:tcW w:type="dxa" w:w="2880"/>
          </w:tcPr>
          <w:p>
            <w:r>
              <w:rPr>
                <w:sz w:val="18"/>
              </w:rPr>
              <w:t>median of M' ÷ observed AGB</w:t>
            </w:r>
          </w:p>
        </w:tc>
        <w:tc>
          <w:tcPr>
            <w:tcW w:type="dxa" w:w="4320"/>
          </w:tcPr>
          <w:p>
            <w:r>
              <w:rPr>
                <w:sz w:val="18"/>
              </w:rPr>
              <w:t>the headline. Above 1 is expected; how far above is the question</w:t>
            </w:r>
          </w:p>
        </w:tc>
      </w:tr>
      <w:tr>
        <w:tc>
          <w:tcPr>
            <w:tcW w:type="dxa" w:w="1872"/>
          </w:tcPr>
          <w:p>
            <w:r>
              <w:rPr>
                <w:sz w:val="18"/>
              </w:rPr>
              <w:t>bootstrap interval</w:t>
            </w:r>
          </w:p>
        </w:tc>
        <w:tc>
          <w:tcPr>
            <w:tcW w:type="dxa" w:w="2880"/>
          </w:tcPr>
          <w:p>
            <w:r>
              <w:rPr>
                <w:sz w:val="18"/>
              </w:rPr>
              <w:t>2.5-97.5 percentile of the median ratio</w:t>
            </w:r>
          </w:p>
        </w:tc>
        <w:tc>
          <w:tcPr>
            <w:tcW w:type="dxa" w:w="4320"/>
          </w:tcPr>
          <w:p>
            <w:r>
              <w:rPr>
                <w:sz w:val="18"/>
              </w:rPr>
              <w:t>whether a difference between runs is worth discussing</w:t>
            </w:r>
          </w:p>
        </w:tc>
      </w:tr>
      <w:tr>
        <w:tc>
          <w:tcPr>
            <w:tcW w:type="dxa" w:w="1872"/>
          </w:tcPr>
          <w:p>
            <w:r>
              <w:rPr>
                <w:sz w:val="18"/>
              </w:rPr>
              <w:t>Spearman ρ</w:t>
            </w:r>
          </w:p>
        </w:tc>
        <w:tc>
          <w:tcPr>
            <w:tcW w:type="dxa" w:w="2880"/>
          </w:tcPr>
          <w:p>
            <w:r>
              <w:rPr>
                <w:sz w:val="18"/>
              </w:rPr>
              <w:t>rank correlation</w:t>
            </w:r>
          </w:p>
        </w:tc>
        <w:tc>
          <w:tcPr>
            <w:tcW w:type="dxa" w:w="4320"/>
          </w:tcPr>
          <w:p>
            <w:r>
              <w:rPr>
                <w:sz w:val="18"/>
              </w:rPr>
              <w:t>does the projection rank sites correctly, independently of level</w:t>
            </w:r>
          </w:p>
        </w:tc>
      </w:tr>
      <w:tr>
        <w:tc>
          <w:tcPr>
            <w:tcW w:type="dxa" w:w="1872"/>
          </w:tcPr>
          <w:p>
            <w:r>
              <w:rPr>
                <w:sz w:val="18"/>
              </w:rPr>
              <w:t>Pearson r / R²</w:t>
            </w:r>
          </w:p>
        </w:tc>
        <w:tc>
          <w:tcPr>
            <w:tcW w:type="dxa" w:w="2880"/>
          </w:tcPr>
          <w:p>
            <w:r>
              <w:rPr>
                <w:sz w:val="18"/>
              </w:rPr>
              <w:t>linear correlation, variance explained</w:t>
            </w:r>
          </w:p>
        </w:tc>
        <w:tc>
          <w:tcPr>
            <w:tcW w:type="dxa" w:w="4320"/>
          </w:tcPr>
          <w:p>
            <w:r>
              <w:rPr>
                <w:sz w:val="18"/>
              </w:rPr>
              <w:t>level-sensitive; read with the ratio, never alone</w:t>
            </w:r>
          </w:p>
        </w:tc>
      </w:tr>
      <w:tr>
        <w:tc>
          <w:tcPr>
            <w:tcW w:type="dxa" w:w="1872"/>
          </w:tcPr>
          <w:p>
            <w:r>
              <w:rPr>
                <w:sz w:val="18"/>
              </w:rPr>
              <w:t>R² in logs</w:t>
            </w:r>
          </w:p>
        </w:tc>
        <w:tc>
          <w:tcPr>
            <w:tcW w:type="dxa" w:w="2880"/>
          </w:tcPr>
          <w:p>
            <w:r>
              <w:rPr>
                <w:sz w:val="18"/>
              </w:rPr>
              <w:t>R² on log(AGB) vs log(M')</w:t>
            </w:r>
          </w:p>
        </w:tc>
        <w:tc>
          <w:tcPr>
            <w:tcW w:type="dxa" w:w="4320"/>
          </w:tcPr>
          <w:p>
            <w:r>
              <w:rPr>
                <w:sz w:val="18"/>
              </w:rPr>
              <w:t>biomass spans three orders of magnitude; in logs every site counts, not only the largest</w:t>
            </w:r>
          </w:p>
        </w:tc>
      </w:tr>
      <w:tr>
        <w:tc>
          <w:tcPr>
            <w:tcW w:type="dxa" w:w="1872"/>
          </w:tcPr>
          <w:p>
            <w:r>
              <w:rPr>
                <w:sz w:val="18"/>
              </w:rPr>
              <w:t>RMSE, MAE</w:t>
            </w:r>
          </w:p>
        </w:tc>
        <w:tc>
          <w:tcPr>
            <w:tcW w:type="dxa" w:w="2880"/>
          </w:tcPr>
          <w:p>
            <w:r>
              <w:rPr>
                <w:sz w:val="18"/>
              </w:rPr>
              <w:t>error in Mg ha⁻¹</w:t>
            </w:r>
          </w:p>
        </w:tc>
        <w:tc>
          <w:tcPr>
            <w:tcW w:type="dxa" w:w="4320"/>
          </w:tcPr>
          <w:p>
            <w:r>
              <w:rPr>
                <w:sz w:val="18"/>
              </w:rPr>
              <w:t>absolute size of the disagreement; RMSE is dominated by big sites</w:t>
            </w:r>
          </w:p>
        </w:tc>
      </w:tr>
      <w:tr>
        <w:tc>
          <w:tcPr>
            <w:tcW w:type="dxa" w:w="1872"/>
          </w:tcPr>
          <w:p>
            <w:r>
              <w:rPr>
                <w:sz w:val="18"/>
              </w:rPr>
              <w:t>MdAPE</w:t>
            </w:r>
          </w:p>
        </w:tc>
        <w:tc>
          <w:tcPr>
            <w:tcW w:type="dxa" w:w="2880"/>
          </w:tcPr>
          <w:p>
            <w:r>
              <w:rPr>
                <w:sz w:val="18"/>
              </w:rPr>
              <w:t>median |ratio − 1| as a percentage</w:t>
            </w:r>
          </w:p>
        </w:tc>
        <w:tc>
          <w:tcPr>
            <w:tcW w:type="dxa" w:w="4320"/>
          </w:tcPr>
          <w:p>
            <w:r>
              <w:rPr>
                <w:sz w:val="18"/>
              </w:rPr>
              <w:t>a robust relative error</w:t>
            </w:r>
          </w:p>
        </w:tc>
      </w:tr>
      <w:tr>
        <w:tc>
          <w:tcPr>
            <w:tcW w:type="dxa" w:w="1872"/>
          </w:tcPr>
          <w:p>
            <w:r>
              <w:rPr>
                <w:sz w:val="18"/>
              </w:rPr>
              <w:t>Lin's CCC</w:t>
            </w:r>
          </w:p>
        </w:tc>
        <w:tc>
          <w:tcPr>
            <w:tcW w:type="dxa" w:w="2880"/>
          </w:tcPr>
          <w:p>
            <w:r>
              <w:rPr>
                <w:sz w:val="18"/>
              </w:rPr>
              <w:t>concordance with the 1:1 line</w:t>
            </w:r>
          </w:p>
        </w:tc>
        <w:tc>
          <w:tcPr>
            <w:tcW w:type="dxa" w:w="4320"/>
          </w:tcPr>
          <w:p>
            <w:r>
              <w:rPr>
                <w:sz w:val="18"/>
              </w:rPr>
              <w:t>penalises both poor correlation and systematic offset</w:t>
            </w:r>
          </w:p>
        </w:tc>
      </w:tr>
      <w:tr>
        <w:tc>
          <w:tcPr>
            <w:tcW w:type="dxa" w:w="1872"/>
          </w:tcPr>
          <w:p>
            <w:r>
              <w:rPr>
                <w:sz w:val="18"/>
              </w:rPr>
              <w:t>Theil-Sen slope</w:t>
            </w:r>
          </w:p>
        </w:tc>
        <w:tc>
          <w:tcPr>
            <w:tcW w:type="dxa" w:w="2880"/>
          </w:tcPr>
          <w:p>
            <w:r>
              <w:rPr>
                <w:sz w:val="18"/>
              </w:rPr>
              <w:t>robust slope of M' on AGB</w:t>
            </w:r>
          </w:p>
        </w:tc>
        <w:tc>
          <w:tcPr>
            <w:tcW w:type="dxa" w:w="4320"/>
          </w:tcPr>
          <w:p>
            <w:r>
              <w:rPr>
                <w:sz w:val="18"/>
              </w:rPr>
              <w:t>whether the two scale together, resistant to outliers</w:t>
            </w:r>
          </w:p>
        </w:tc>
      </w:tr>
      <w:tr>
        <w:tc>
          <w:tcPr>
            <w:tcW w:type="dxa" w:w="1872"/>
          </w:tcPr>
          <w:p>
            <w:r>
              <w:rPr>
                <w:sz w:val="18"/>
              </w:rPr>
              <w:t>% within 2×</w:t>
            </w:r>
          </w:p>
        </w:tc>
        <w:tc>
          <w:tcPr>
            <w:tcW w:type="dxa" w:w="2880"/>
          </w:tcPr>
          <w:p>
            <w:r>
              <w:rPr>
                <w:sz w:val="18"/>
              </w:rPr>
              <w:t>share with 0.5 &lt; ratio &lt; 2</w:t>
            </w:r>
          </w:p>
        </w:tc>
        <w:tc>
          <w:tcPr>
            <w:tcW w:type="dxa" w:w="4320"/>
          </w:tcPr>
          <w:p>
            <w:r>
              <w:rPr>
                <w:sz w:val="18"/>
              </w:rPr>
              <w:t>a plain-language accuracy statement</w:t>
            </w:r>
          </w:p>
        </w:tc>
      </w:tr>
      <w:tr>
        <w:tc>
          <w:tcPr>
            <w:tcW w:type="dxa" w:w="1872"/>
          </w:tcPr>
          <w:p>
            <w:r>
              <w:rPr>
                <w:sz w:val="18"/>
              </w:rPr>
              <w:t>match distance</w:t>
            </w:r>
          </w:p>
        </w:tc>
        <w:tc>
          <w:tcPr>
            <w:tcW w:type="dxa" w:w="2880"/>
          </w:tcPr>
          <w:p>
            <w:r>
              <w:rPr>
                <w:sz w:val="18"/>
              </w:rPr>
              <w:t>distance in the PCA space</w:t>
            </w:r>
          </w:p>
        </w:tc>
        <w:tc>
          <w:tcPr>
            <w:tcW w:type="dxa" w:w="4320"/>
          </w:tcPr>
          <w:p>
            <w:r>
              <w:rPr>
                <w:sz w:val="18"/>
              </w:rPr>
              <w:t>how good the analogue was; a large value weakens everything else</w:t>
            </w:r>
          </w:p>
        </w:tc>
      </w:tr>
    </w:tbl>
    <w:p/>
    <w:p>
      <w:pPr>
        <w:pStyle w:val="Heading1"/>
      </w:pPr>
      <w:r>
        <w:t>Results</w:t>
      </w:r>
    </w:p>
    <w:p>
      <w:pPr>
        <w:pStyle w:val="Heading2"/>
      </w:pPr>
      <w:r>
        <w:t>The present-day gate</w:t>
      </w:r>
    </w:p>
    <w:p>
      <w:r>
        <w:t>Before any climate analogue, M' at each site's own cell today against the biomass measured there: median ratio 0.61 (95% CI 0.53-0.74), Spearman ρ 0.15, 30% of sites within a factor of two, n = 688. M' sits below observed biomass at the median, which immaturity cannot explain and which needs investigating before the space-for-time result is used.</w:t>
      </w:r>
    </w:p>
    <w:p>
      <w:r>
        <w:t>Figure 2 is the gate, and it involves no matching at all. Panel (a) plots, for each site, the biomass measured in the field on the x axis against the M' of the 1 km cell the site falls in on the y axis, with the 1:1 line dashed. Panel (b) is the same information as the distribution of M' divided by observed AGB, with the median marked. Both axes are linear and clipped just above the bulk of the data; the sites beyond the cut are counted on the panel rather than hidden.</w:t>
      </w:r>
    </w:p>
    <w:p>
      <w:r>
        <w:t>How to read it: because M' is a maximum and a field measurement is one stand at one moment, the ratio should sit ABOVE 1 for a well-behaved layer. A median below 1 cannot be explained by stand immaturity, which is why this panel decides how much weight the rest of the report can carry. The vertical smear at low observed AGB is the scale mismatch: a sub-hectare plot with little biomass inside a 1 km cell whose potential is high.</w:t>
      </w:r>
    </w:p>
    <w:p>
      <w:pPr>
        <w:jc w:val="center"/>
      </w:pPr>
      <w:r>
        <w:drawing>
          <wp:inline xmlns:a="http://schemas.openxmlformats.org/drawingml/2006/main" xmlns:pic="http://schemas.openxmlformats.org/drawingml/2006/picture">
            <wp:extent cx="5852160" cy="2430134"/>
            <wp:docPr id="3" name="Picture 3"/>
            <wp:cNvGraphicFramePr>
              <a:graphicFrameLocks noChangeAspect="1"/>
            </wp:cNvGraphicFramePr>
            <a:graphic>
              <a:graphicData uri="http://schemas.openxmlformats.org/drawingml/2006/picture">
                <pic:pic>
                  <pic:nvPicPr>
                    <pic:cNvPr id="0" name="fig_02_present_day_gate_nvis_mean_of_annual.png"/>
                    <pic:cNvPicPr/>
                  </pic:nvPicPr>
                  <pic:blipFill>
                    <a:blip r:embed="rId11"/>
                    <a:stretch>
                      <a:fillRect/>
                    </a:stretch>
                  </pic:blipFill>
                  <pic:spPr>
                    <a:xfrm>
                      <a:off x="0" y="0"/>
                      <a:ext cx="5852160" cy="2430134"/>
                    </a:xfrm>
                    <a:prstGeom prst="rect"/>
                  </pic:spPr>
                </pic:pic>
              </a:graphicData>
            </a:graphic>
          </wp:inline>
        </w:drawing>
      </w:r>
    </w:p>
    <w:p>
      <w:r>
        <w:rPr>
          <w:i/>
          <w:color w:val="52514E"/>
          <w:sz w:val="17"/>
        </w:rPr>
        <w:t>Figure 2. The present-day gate. Left: observed AGB against M' at the same cell, linear axes clipped just above the bulk of the data, 1:1 dashed, with n, median ratio, Spearman rho, the share within a factor of two and RMSE on the panel. Right: the distribution of the ratio, cut at 6 with the number of sites beyond it stated.</w:t>
      </w:r>
    </w:p>
    <w:p>
      <w:pPr>
        <w:pStyle w:val="Heading2"/>
      </w:pPr>
      <w:r>
        <w:t>Controls</w:t>
      </w:r>
    </w:p>
    <w:p>
      <w:r>
        <w:t>Three runs bracket what the method can do before any future is involved. Matching a site to a present-day analogue gives a median ratio of 0.64 — this is the matching method's own error, and the future runs should be read against it rather than against 1. Random cells give 0.59, which is the floor any real skill has to beat.</w:t>
      </w:r>
    </w:p>
    <w:p>
      <w:pPr>
        <w:pStyle w:val="Heading2"/>
      </w:pPr>
      <w:r>
        <w:t>The eight scenario-windows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296"/>
          </w:tcPr>
          <w:p>
            <w:r>
              <w:rPr>
                <w:b/>
                <w:sz w:val="18"/>
              </w:rPr>
              <w:t>scenario</w:t>
            </w:r>
          </w:p>
        </w:tc>
        <w:tc>
          <w:tcPr>
            <w:tcW w:type="dxa" w:w="1440"/>
          </w:tcPr>
          <w:p>
            <w:r>
              <w:rPr>
                <w:b/>
                <w:sz w:val="18"/>
              </w:rPr>
              <w:t>window</w:t>
            </w:r>
          </w:p>
        </w:tc>
        <w:tc>
          <w:tcPr>
            <w:tcW w:type="dxa" w:w="864"/>
          </w:tcPr>
          <w:p>
            <w:r>
              <w:rPr>
                <w:b/>
                <w:sz w:val="18"/>
              </w:rPr>
              <w:t>n</w:t>
            </w:r>
          </w:p>
        </w:tc>
        <w:tc>
          <w:tcPr>
            <w:tcW w:type="dxa" w:w="1440"/>
          </w:tcPr>
          <w:p>
            <w:r>
              <w:rPr>
                <w:b/>
                <w:sz w:val="18"/>
              </w:rPr>
              <w:t>median ratio</w:t>
            </w:r>
          </w:p>
        </w:tc>
        <w:tc>
          <w:tcPr>
            <w:tcW w:type="dxa" w:w="1584"/>
          </w:tcPr>
          <w:p>
            <w:r>
              <w:rPr>
                <w:b/>
                <w:sz w:val="18"/>
              </w:rPr>
              <w:t>95% CI</w:t>
            </w:r>
          </w:p>
        </w:tc>
        <w:tc>
          <w:tcPr>
            <w:tcW w:type="dxa" w:w="1296"/>
          </w:tcPr>
          <w:p>
            <w:r>
              <w:rPr>
                <w:b/>
                <w:sz w:val="18"/>
              </w:rPr>
              <w:t>Spearman ρ</w:t>
            </w:r>
          </w:p>
        </w:tc>
        <w:tc>
          <w:tcPr>
            <w:tcW w:type="dxa" w:w="1296"/>
          </w:tcPr>
          <w:p>
            <w:r>
              <w:rPr>
                <w:b/>
                <w:sz w:val="18"/>
              </w:rPr>
              <w:t>R² (logs)</w:t>
            </w:r>
          </w:p>
        </w:tc>
        <w:tc>
          <w:tcPr>
            <w:tcW w:type="dxa" w:w="1296"/>
          </w:tcPr>
          <w:p>
            <w:r>
              <w:rPr>
                <w:b/>
                <w:sz w:val="18"/>
              </w:rPr>
              <w:t>% within 2×</w:t>
            </w:r>
          </w:p>
        </w:tc>
      </w:tr>
      <w:tr>
        <w:tc>
          <w:tcPr>
            <w:tcW w:type="dxa" w:w="1296"/>
          </w:tcPr>
          <w:p>
            <w:r>
              <w:rPr>
                <w:sz w:val="18"/>
              </w:rPr>
              <w:t>SSP126</w:t>
            </w:r>
          </w:p>
        </w:tc>
        <w:tc>
          <w:tcPr>
            <w:tcW w:type="dxa" w:w="1440"/>
          </w:tcPr>
          <w:p>
            <w:r>
              <w:rPr>
                <w:sz w:val="18"/>
              </w:rPr>
              <w:t>2035-2064</w:t>
            </w:r>
          </w:p>
        </w:tc>
        <w:tc>
          <w:tcPr>
            <w:tcW w:type="dxa" w:w="864"/>
          </w:tcPr>
          <w:p>
            <w:r>
              <w:rPr>
                <w:sz w:val="18"/>
              </w:rPr>
              <w:t>622</w:t>
            </w:r>
          </w:p>
        </w:tc>
        <w:tc>
          <w:tcPr>
            <w:tcW w:type="dxa" w:w="1440"/>
          </w:tcPr>
          <w:p>
            <w:r>
              <w:rPr>
                <w:sz w:val="18"/>
              </w:rPr>
              <w:t>0.61</w:t>
            </w:r>
          </w:p>
        </w:tc>
        <w:tc>
          <w:tcPr>
            <w:tcW w:type="dxa" w:w="1584"/>
          </w:tcPr>
          <w:p>
            <w:r>
              <w:rPr>
                <w:sz w:val="18"/>
              </w:rPr>
              <w:t>0.50-0.76</w:t>
            </w:r>
          </w:p>
        </w:tc>
        <w:tc>
          <w:tcPr>
            <w:tcW w:type="dxa" w:w="1296"/>
          </w:tcPr>
          <w:p>
            <w:r>
              <w:rPr>
                <w:sz w:val="18"/>
              </w:rPr>
              <w:t>0.07</w:t>
            </w:r>
          </w:p>
        </w:tc>
        <w:tc>
          <w:tcPr>
            <w:tcW w:type="dxa" w:w="1296"/>
          </w:tcPr>
          <w:p>
            <w:r>
              <w:rPr>
                <w:sz w:val="18"/>
              </w:rPr>
              <w:t>-0.36</w:t>
            </w:r>
          </w:p>
        </w:tc>
        <w:tc>
          <w:tcPr>
            <w:tcW w:type="dxa" w:w="1296"/>
          </w:tcPr>
          <w:p>
            <w:r>
              <w:rPr>
                <w:sz w:val="18"/>
              </w:rPr>
              <w:t>27</w:t>
            </w:r>
          </w:p>
        </w:tc>
      </w:tr>
      <w:tr>
        <w:tc>
          <w:tcPr>
            <w:tcW w:type="dxa" w:w="1296"/>
          </w:tcPr>
          <w:p>
            <w:r>
              <w:rPr>
                <w:sz w:val="18"/>
              </w:rPr>
              <w:t>SSP245</w:t>
            </w:r>
          </w:p>
        </w:tc>
        <w:tc>
          <w:tcPr>
            <w:tcW w:type="dxa" w:w="1440"/>
          </w:tcPr>
          <w:p>
            <w:r>
              <w:rPr>
                <w:sz w:val="18"/>
              </w:rPr>
              <w:t>2035-2064</w:t>
            </w:r>
          </w:p>
        </w:tc>
        <w:tc>
          <w:tcPr>
            <w:tcW w:type="dxa" w:w="864"/>
          </w:tcPr>
          <w:p>
            <w:r>
              <w:rPr>
                <w:sz w:val="18"/>
              </w:rPr>
              <w:t>612</w:t>
            </w:r>
          </w:p>
        </w:tc>
        <w:tc>
          <w:tcPr>
            <w:tcW w:type="dxa" w:w="1440"/>
          </w:tcPr>
          <w:p>
            <w:r>
              <w:rPr>
                <w:sz w:val="18"/>
              </w:rPr>
              <w:t>0.61</w:t>
            </w:r>
          </w:p>
        </w:tc>
        <w:tc>
          <w:tcPr>
            <w:tcW w:type="dxa" w:w="1584"/>
          </w:tcPr>
          <w:p>
            <w:r>
              <w:rPr>
                <w:sz w:val="18"/>
              </w:rPr>
              <w:t>0.50-0.75</w:t>
            </w:r>
          </w:p>
        </w:tc>
        <w:tc>
          <w:tcPr>
            <w:tcW w:type="dxa" w:w="1296"/>
          </w:tcPr>
          <w:p>
            <w:r>
              <w:rPr>
                <w:sz w:val="18"/>
              </w:rPr>
              <w:t>0.07</w:t>
            </w:r>
          </w:p>
        </w:tc>
        <w:tc>
          <w:tcPr>
            <w:tcW w:type="dxa" w:w="1296"/>
          </w:tcPr>
          <w:p>
            <w:r>
              <w:rPr>
                <w:sz w:val="18"/>
              </w:rPr>
              <w:t>-0.33</w:t>
            </w:r>
          </w:p>
        </w:tc>
        <w:tc>
          <w:tcPr>
            <w:tcW w:type="dxa" w:w="1296"/>
          </w:tcPr>
          <w:p>
            <w:r>
              <w:rPr>
                <w:sz w:val="18"/>
              </w:rPr>
              <w:t>27</w:t>
            </w:r>
          </w:p>
        </w:tc>
      </w:tr>
      <w:tr>
        <w:tc>
          <w:tcPr>
            <w:tcW w:type="dxa" w:w="1296"/>
          </w:tcPr>
          <w:p>
            <w:r>
              <w:rPr>
                <w:sz w:val="18"/>
              </w:rPr>
              <w:t>SSP370</w:t>
            </w:r>
          </w:p>
        </w:tc>
        <w:tc>
          <w:tcPr>
            <w:tcW w:type="dxa" w:w="1440"/>
          </w:tcPr>
          <w:p>
            <w:r>
              <w:rPr>
                <w:sz w:val="18"/>
              </w:rPr>
              <w:t>2035-2064</w:t>
            </w:r>
          </w:p>
        </w:tc>
        <w:tc>
          <w:tcPr>
            <w:tcW w:type="dxa" w:w="864"/>
          </w:tcPr>
          <w:p>
            <w:r>
              <w:rPr>
                <w:sz w:val="18"/>
              </w:rPr>
              <w:t>584</w:t>
            </w:r>
          </w:p>
        </w:tc>
        <w:tc>
          <w:tcPr>
            <w:tcW w:type="dxa" w:w="1440"/>
          </w:tcPr>
          <w:p>
            <w:r>
              <w:rPr>
                <w:sz w:val="18"/>
              </w:rPr>
              <w:t>0.61</w:t>
            </w:r>
          </w:p>
        </w:tc>
        <w:tc>
          <w:tcPr>
            <w:tcW w:type="dxa" w:w="1584"/>
          </w:tcPr>
          <w:p>
            <w:r>
              <w:rPr>
                <w:sz w:val="18"/>
              </w:rPr>
              <w:t>0.50-0.74</w:t>
            </w:r>
          </w:p>
        </w:tc>
        <w:tc>
          <w:tcPr>
            <w:tcW w:type="dxa" w:w="1296"/>
          </w:tcPr>
          <w:p>
            <w:r>
              <w:rPr>
                <w:sz w:val="18"/>
              </w:rPr>
              <w:t>0.07</w:t>
            </w:r>
          </w:p>
        </w:tc>
        <w:tc>
          <w:tcPr>
            <w:tcW w:type="dxa" w:w="1296"/>
          </w:tcPr>
          <w:p>
            <w:r>
              <w:rPr>
                <w:sz w:val="18"/>
              </w:rPr>
              <w:t>-0.32</w:t>
            </w:r>
          </w:p>
        </w:tc>
        <w:tc>
          <w:tcPr>
            <w:tcW w:type="dxa" w:w="1296"/>
          </w:tcPr>
          <w:p>
            <w:r>
              <w:rPr>
                <w:sz w:val="18"/>
              </w:rPr>
              <w:t>28</w:t>
            </w:r>
          </w:p>
        </w:tc>
      </w:tr>
      <w:tr>
        <w:tc>
          <w:tcPr>
            <w:tcW w:type="dxa" w:w="1296"/>
          </w:tcPr>
          <w:p>
            <w:r>
              <w:rPr>
                <w:sz w:val="18"/>
              </w:rPr>
              <w:t>SSP585</w:t>
            </w:r>
          </w:p>
        </w:tc>
        <w:tc>
          <w:tcPr>
            <w:tcW w:type="dxa" w:w="1440"/>
          </w:tcPr>
          <w:p>
            <w:r>
              <w:rPr>
                <w:sz w:val="18"/>
              </w:rPr>
              <w:t>2035-2064</w:t>
            </w:r>
          </w:p>
        </w:tc>
        <w:tc>
          <w:tcPr>
            <w:tcW w:type="dxa" w:w="864"/>
          </w:tcPr>
          <w:p>
            <w:r>
              <w:rPr>
                <w:sz w:val="18"/>
              </w:rPr>
              <w:t>542</w:t>
            </w:r>
          </w:p>
        </w:tc>
        <w:tc>
          <w:tcPr>
            <w:tcW w:type="dxa" w:w="1440"/>
          </w:tcPr>
          <w:p>
            <w:r>
              <w:rPr>
                <w:sz w:val="18"/>
              </w:rPr>
              <w:t>0.55</w:t>
            </w:r>
          </w:p>
        </w:tc>
        <w:tc>
          <w:tcPr>
            <w:tcW w:type="dxa" w:w="1584"/>
          </w:tcPr>
          <w:p>
            <w:r>
              <w:rPr>
                <w:sz w:val="18"/>
              </w:rPr>
              <w:t>0.44-0.68</w:t>
            </w:r>
          </w:p>
        </w:tc>
        <w:tc>
          <w:tcPr>
            <w:tcW w:type="dxa" w:w="1296"/>
          </w:tcPr>
          <w:p>
            <w:r>
              <w:rPr>
                <w:sz w:val="18"/>
              </w:rPr>
              <w:t>0.07</w:t>
            </w:r>
          </w:p>
        </w:tc>
        <w:tc>
          <w:tcPr>
            <w:tcW w:type="dxa" w:w="1296"/>
          </w:tcPr>
          <w:p>
            <w:r>
              <w:rPr>
                <w:sz w:val="18"/>
              </w:rPr>
              <w:t>-0.31</w:t>
            </w:r>
          </w:p>
        </w:tc>
        <w:tc>
          <w:tcPr>
            <w:tcW w:type="dxa" w:w="1296"/>
          </w:tcPr>
          <w:p>
            <w:r>
              <w:rPr>
                <w:sz w:val="18"/>
              </w:rPr>
              <w:t>27</w:t>
            </w:r>
          </w:p>
        </w:tc>
      </w:tr>
      <w:tr>
        <w:tc>
          <w:tcPr>
            <w:tcW w:type="dxa" w:w="1296"/>
          </w:tcPr>
          <w:p>
            <w:r>
              <w:rPr>
                <w:sz w:val="18"/>
              </w:rPr>
              <w:t>SSP126</w:t>
            </w:r>
          </w:p>
        </w:tc>
        <w:tc>
          <w:tcPr>
            <w:tcW w:type="dxa" w:w="1440"/>
          </w:tcPr>
          <w:p>
            <w:r>
              <w:rPr>
                <w:sz w:val="18"/>
              </w:rPr>
              <w:t>2070-2099</w:t>
            </w:r>
          </w:p>
        </w:tc>
        <w:tc>
          <w:tcPr>
            <w:tcW w:type="dxa" w:w="864"/>
          </w:tcPr>
          <w:p>
            <w:r>
              <w:rPr>
                <w:sz w:val="18"/>
              </w:rPr>
              <w:t>603</w:t>
            </w:r>
          </w:p>
        </w:tc>
        <w:tc>
          <w:tcPr>
            <w:tcW w:type="dxa" w:w="1440"/>
          </w:tcPr>
          <w:p>
            <w:r>
              <w:rPr>
                <w:sz w:val="18"/>
              </w:rPr>
              <w:t>0.56</w:t>
            </w:r>
          </w:p>
        </w:tc>
        <w:tc>
          <w:tcPr>
            <w:tcW w:type="dxa" w:w="1584"/>
          </w:tcPr>
          <w:p>
            <w:r>
              <w:rPr>
                <w:sz w:val="18"/>
              </w:rPr>
              <w:t>0.48-0.67</w:t>
            </w:r>
          </w:p>
        </w:tc>
        <w:tc>
          <w:tcPr>
            <w:tcW w:type="dxa" w:w="1296"/>
          </w:tcPr>
          <w:p>
            <w:r>
              <w:rPr>
                <w:sz w:val="18"/>
              </w:rPr>
              <w:t>0.04</w:t>
            </w:r>
          </w:p>
        </w:tc>
        <w:tc>
          <w:tcPr>
            <w:tcW w:type="dxa" w:w="1296"/>
          </w:tcPr>
          <w:p>
            <w:r>
              <w:rPr>
                <w:sz w:val="18"/>
              </w:rPr>
              <w:t>-0.37</w:t>
            </w:r>
          </w:p>
        </w:tc>
        <w:tc>
          <w:tcPr>
            <w:tcW w:type="dxa" w:w="1296"/>
          </w:tcPr>
          <w:p>
            <w:r>
              <w:rPr>
                <w:sz w:val="18"/>
              </w:rPr>
              <w:t>26</w:t>
            </w:r>
          </w:p>
        </w:tc>
      </w:tr>
      <w:tr>
        <w:tc>
          <w:tcPr>
            <w:tcW w:type="dxa" w:w="1296"/>
          </w:tcPr>
          <w:p>
            <w:r>
              <w:rPr>
                <w:sz w:val="18"/>
              </w:rPr>
              <w:t>SSP245</w:t>
            </w:r>
          </w:p>
        </w:tc>
        <w:tc>
          <w:tcPr>
            <w:tcW w:type="dxa" w:w="1440"/>
          </w:tcPr>
          <w:p>
            <w:r>
              <w:rPr>
                <w:sz w:val="18"/>
              </w:rPr>
              <w:t>2070-2099</w:t>
            </w:r>
          </w:p>
        </w:tc>
        <w:tc>
          <w:tcPr>
            <w:tcW w:type="dxa" w:w="864"/>
          </w:tcPr>
          <w:p>
            <w:r>
              <w:rPr>
                <w:sz w:val="18"/>
              </w:rPr>
              <w:t>304</w:t>
            </w:r>
          </w:p>
        </w:tc>
        <w:tc>
          <w:tcPr>
            <w:tcW w:type="dxa" w:w="1440"/>
          </w:tcPr>
          <w:p>
            <w:r>
              <w:rPr>
                <w:sz w:val="18"/>
              </w:rPr>
              <w:t>0.42</w:t>
            </w:r>
          </w:p>
        </w:tc>
        <w:tc>
          <w:tcPr>
            <w:tcW w:type="dxa" w:w="1584"/>
          </w:tcPr>
          <w:p>
            <w:r>
              <w:rPr>
                <w:sz w:val="18"/>
              </w:rPr>
              <w:t>0.33-0.57</w:t>
            </w:r>
          </w:p>
        </w:tc>
        <w:tc>
          <w:tcPr>
            <w:tcW w:type="dxa" w:w="1296"/>
          </w:tcPr>
          <w:p>
            <w:r>
              <w:rPr>
                <w:sz w:val="18"/>
              </w:rPr>
              <w:t>0.23</w:t>
            </w:r>
          </w:p>
        </w:tc>
        <w:tc>
          <w:tcPr>
            <w:tcW w:type="dxa" w:w="1296"/>
          </w:tcPr>
          <w:p>
            <w:r>
              <w:rPr>
                <w:sz w:val="18"/>
              </w:rPr>
              <w:t>-0.12</w:t>
            </w:r>
          </w:p>
        </w:tc>
        <w:tc>
          <w:tcPr>
            <w:tcW w:type="dxa" w:w="1296"/>
          </w:tcPr>
          <w:p>
            <w:r>
              <w:rPr>
                <w:sz w:val="18"/>
              </w:rPr>
              <w:t>24</w:t>
            </w:r>
          </w:p>
        </w:tc>
      </w:tr>
      <w:tr>
        <w:tc>
          <w:tcPr>
            <w:tcW w:type="dxa" w:w="1296"/>
          </w:tcPr>
          <w:p>
            <w:r>
              <w:rPr>
                <w:sz w:val="18"/>
              </w:rPr>
              <w:t>SSP370</w:t>
            </w:r>
          </w:p>
        </w:tc>
        <w:tc>
          <w:tcPr>
            <w:tcW w:type="dxa" w:w="1440"/>
          </w:tcPr>
          <w:p>
            <w:r>
              <w:rPr>
                <w:sz w:val="18"/>
              </w:rPr>
              <w:t>2070-2099</w:t>
            </w:r>
          </w:p>
        </w:tc>
        <w:tc>
          <w:tcPr>
            <w:tcW w:type="dxa" w:w="864"/>
          </w:tcPr>
          <w:p>
            <w:r>
              <w:rPr>
                <w:sz w:val="18"/>
              </w:rPr>
              <w:t>69</w:t>
            </w:r>
          </w:p>
        </w:tc>
        <w:tc>
          <w:tcPr>
            <w:tcW w:type="dxa" w:w="1440"/>
          </w:tcPr>
          <w:p>
            <w:r>
              <w:rPr>
                <w:sz w:val="18"/>
              </w:rPr>
              <w:t>0.67</w:t>
            </w:r>
          </w:p>
        </w:tc>
        <w:tc>
          <w:tcPr>
            <w:tcW w:type="dxa" w:w="1584"/>
          </w:tcPr>
          <w:p>
            <w:r>
              <w:rPr>
                <w:sz w:val="18"/>
              </w:rPr>
              <w:t>0.33-1.12</w:t>
            </w:r>
          </w:p>
        </w:tc>
        <w:tc>
          <w:tcPr>
            <w:tcW w:type="dxa" w:w="1296"/>
          </w:tcPr>
          <w:p>
            <w:r>
              <w:rPr>
                <w:sz w:val="18"/>
              </w:rPr>
              <w:t>0.01</w:t>
            </w:r>
          </w:p>
        </w:tc>
        <w:tc>
          <w:tcPr>
            <w:tcW w:type="dxa" w:w="1296"/>
          </w:tcPr>
          <w:p>
            <w:r>
              <w:rPr>
                <w:sz w:val="18"/>
              </w:rPr>
              <w:t>-0.23</w:t>
            </w:r>
          </w:p>
        </w:tc>
        <w:tc>
          <w:tcPr>
            <w:tcW w:type="dxa" w:w="1296"/>
          </w:tcPr>
          <w:p>
            <w:r>
              <w:rPr>
                <w:sz w:val="18"/>
              </w:rPr>
              <w:t>35</w:t>
            </w:r>
          </w:p>
        </w:tc>
      </w:tr>
      <w:tr>
        <w:tc>
          <w:tcPr>
            <w:tcW w:type="dxa" w:w="1296"/>
          </w:tcPr>
          <w:p>
            <w:r>
              <w:rPr>
                <w:sz w:val="18"/>
              </w:rPr>
              <w:t>SSP585</w:t>
            </w:r>
          </w:p>
        </w:tc>
        <w:tc>
          <w:tcPr>
            <w:tcW w:type="dxa" w:w="1440"/>
          </w:tcPr>
          <w:p>
            <w:r>
              <w:rPr>
                <w:sz w:val="18"/>
              </w:rPr>
              <w:t>2070-2099</w:t>
            </w:r>
          </w:p>
        </w:tc>
        <w:tc>
          <w:tcPr>
            <w:tcW w:type="dxa" w:w="864"/>
          </w:tcPr>
          <w:p>
            <w:r>
              <w:rPr>
                <w:sz w:val="18"/>
              </w:rPr>
              <w:t>16</w:t>
            </w:r>
          </w:p>
        </w:tc>
        <w:tc>
          <w:tcPr>
            <w:tcW w:type="dxa" w:w="1440"/>
          </w:tcPr>
          <w:p>
            <w:r>
              <w:rPr>
                <w:sz w:val="18"/>
              </w:rPr>
              <w:t>0.78</w:t>
            </w:r>
          </w:p>
        </w:tc>
        <w:tc>
          <w:tcPr>
            <w:tcW w:type="dxa" w:w="1584"/>
          </w:tcPr>
          <w:p>
            <w:r>
              <w:rPr>
                <w:sz w:val="18"/>
              </w:rPr>
              <w:t>0.34-1.42</w:t>
            </w:r>
          </w:p>
        </w:tc>
        <w:tc>
          <w:tcPr>
            <w:tcW w:type="dxa" w:w="1296"/>
          </w:tcPr>
          <w:p>
            <w:r>
              <w:rPr>
                <w:sz w:val="18"/>
              </w:rPr>
              <w:t>0.48</w:t>
            </w:r>
          </w:p>
        </w:tc>
        <w:tc>
          <w:tcPr>
            <w:tcW w:type="dxa" w:w="1296"/>
          </w:tcPr>
          <w:p>
            <w:r>
              <w:rPr>
                <w:sz w:val="18"/>
              </w:rPr>
              <w:t>0.31</w:t>
            </w:r>
          </w:p>
        </w:tc>
        <w:tc>
          <w:tcPr>
            <w:tcW w:type="dxa" w:w="1296"/>
          </w:tcPr>
          <w:p>
            <w:r>
              <w:rPr>
                <w:sz w:val="18"/>
              </w:rPr>
              <w:t>38</w:t>
            </w:r>
          </w:p>
        </w:tc>
      </w:tr>
    </w:tbl>
    <w:p/>
    <w:p>
      <w:r>
        <w:t>Across the eight runs the median ratio spans 0.42 to 0.78 and Spearman ρ 0.01 to 0.48. At least one run does not beat the random-cell control, which means the matching adds nothing there and the result should not be quoted as skill.</w:t>
      </w:r>
    </w:p>
    <w:p>
      <w:r>
        <w:t>Figure 4 is the space-for-time comparison itself. For each panel, every site was matched to the future cell whose predictors are nearest in the PCA space and whose pre-1750 vegetation subgroup is the same; the x axis is the biomass observed at the site, the y axis the M' projected for its matched cell, and only sites with an analogue are drawn. Rows are the two windows, columns the four scenarios. The clouds sit below the 1:1 line in every panel, which is the same finding as Figure 2 carried through the matching.</w:t>
      </w:r>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fig_04_obs_vs_matched_nvis_mean_of_annual.png"/>
                    <pic:cNvPicPr/>
                  </pic:nvPicPr>
                  <pic:blipFill>
                    <a:blip r:embed="rId12"/>
                    <a:stretch>
                      <a:fillRect/>
                    </a:stretch>
                  </pic:blipFill>
                  <pic:spPr>
                    <a:xfrm>
                      <a:off x="0" y="0"/>
                      <a:ext cx="5852160" cy="3009682"/>
                    </a:xfrm>
                    <a:prstGeom prst="rect"/>
                  </pic:spPr>
                </pic:pic>
              </a:graphicData>
            </a:graphic>
          </wp:inline>
        </w:drawing>
      </w:r>
    </w:p>
    <w:p>
      <w:r>
        <w:rPr>
          <w:i/>
          <w:color w:val="52514E"/>
          <w:sz w:val="17"/>
        </w:rPr>
        <w:t>Figure 4. Observed AGB against the M' projected for each site's future climate analogue, one panel per scenario-window. Each panel carries n, the median ratio, Spearman rho and the share within a factor of two for that run; the same numbers, with the rest of the statistics, are in the tables above.</w:t>
      </w:r>
    </w:p>
    <w:p>
      <w:r>
        <w:t>Figure 5 compresses each panel of Figure 4, and each control, to one number: the median of M' divided by observed AGB, with a 2,000-sample bootstrap interval. The controls are grey. This is the summary figure of the analysis, and the comparison it invites is horizontal — each future run against the present-day-analogue control and against the random-cell null, not against 1.0. Where the intervals of a run and the null overlap, that run has not demonstrated skill.</w:t>
      </w:r>
    </w:p>
    <w:p>
      <w:pPr>
        <w:jc w:val="center"/>
      </w:pPr>
      <w:r>
        <w:drawing>
          <wp:inline xmlns:a="http://schemas.openxmlformats.org/drawingml/2006/main" xmlns:pic="http://schemas.openxmlformats.org/drawingml/2006/picture">
            <wp:extent cx="5852160" cy="3091707"/>
            <wp:docPr id="5" name="Picture 5"/>
            <wp:cNvGraphicFramePr>
              <a:graphicFrameLocks noChangeAspect="1"/>
            </wp:cNvGraphicFramePr>
            <a:graphic>
              <a:graphicData uri="http://schemas.openxmlformats.org/drawingml/2006/picture">
                <pic:pic>
                  <pic:nvPicPr>
                    <pic:cNvPr id="0" name="fig_05_ratio_by_run_nvis_mean_of_annual.png"/>
                    <pic:cNvPicPr/>
                  </pic:nvPicPr>
                  <pic:blipFill>
                    <a:blip r:embed="rId13"/>
                    <a:stretch>
                      <a:fillRect/>
                    </a:stretch>
                  </pic:blipFill>
                  <pic:spPr>
                    <a:xfrm>
                      <a:off x="0" y="0"/>
                      <a:ext cx="5852160" cy="3091707"/>
                    </a:xfrm>
                    <a:prstGeom prst="rect"/>
                  </pic:spPr>
                </pic:pic>
              </a:graphicData>
            </a:graphic>
          </wp:inline>
        </w:drawing>
      </w:r>
    </w:p>
    <w:p>
      <w:r>
        <w:rPr>
          <w:i/>
          <w:color w:val="52514E"/>
          <w:sz w:val="17"/>
        </w:rPr>
        <w:t>Figure 5. Median ratio with its bootstrap interval, controls in grey. This is the summary figure of the whole analysis.</w:t>
      </w:r>
    </w:p>
    <w:p>
      <w:r>
        <w:t>Figure 6 checks whether a distant analogue is a worse one. Panel (a) draws an arrow from each site to the cell matched to it under SSP5-8.5 2070-2099, so the direction and length of the climate shift are visible. Panel (b) plots agreement against that distance, coloured by the distance in predictor space, with the Spearman correlation between the two printed on the panel. A correlation near zero means the analogue being far away on the ground does not, by itself, make it a worse analogue — which is what one wants, since the match is made in climate space and not in geography.</w:t>
      </w:r>
    </w:p>
    <w:p>
      <w:pPr>
        <w:jc w:val="center"/>
      </w:pPr>
      <w:r>
        <w:drawing>
          <wp:inline xmlns:a="http://schemas.openxmlformats.org/drawingml/2006/main" xmlns:pic="http://schemas.openxmlformats.org/drawingml/2006/picture">
            <wp:extent cx="5852160" cy="2454132"/>
            <wp:docPr id="6" name="Picture 6"/>
            <wp:cNvGraphicFramePr>
              <a:graphicFrameLocks noChangeAspect="1"/>
            </wp:cNvGraphicFramePr>
            <a:graphic>
              <a:graphicData uri="http://schemas.openxmlformats.org/drawingml/2006/picture">
                <pic:pic>
                  <pic:nvPicPr>
                    <pic:cNvPr id="0" name="fig_06_displacement_nvis_mean_of_annual.png"/>
                    <pic:cNvPicPr/>
                  </pic:nvPicPr>
                  <pic:blipFill>
                    <a:blip r:embed="rId14"/>
                    <a:stretch>
                      <a:fillRect/>
                    </a:stretch>
                  </pic:blipFill>
                  <pic:spPr>
                    <a:xfrm>
                      <a:off x="0" y="0"/>
                      <a:ext cx="5852160" cy="2454132"/>
                    </a:xfrm>
                    <a:prstGeom prst="rect"/>
                  </pic:spPr>
                </pic:pic>
              </a:graphicData>
            </a:graphic>
          </wp:inline>
        </w:drawing>
      </w:r>
    </w:p>
    <w:p>
      <w:r>
        <w:rPr>
          <w:i/>
          <w:color w:val="52514E"/>
          <w:sz w:val="17"/>
        </w:rPr>
        <w:t>Figure 6. Where the analogues are, and whether a more distant analogue agrees less well. Panel (b) carries the Spearman correlation between the distance to the analogue and the ratio, which is the question it asks.</w:t>
      </w:r>
    </w:p>
    <w:p>
      <w:pPr>
        <w:pStyle w:val="Heading2"/>
      </w:pPr>
      <w:r>
        <w:t>The other averaging order</w:t>
      </w:r>
    </w:p>
    <w:p>
      <w:r>
        <w:t>M' exists in two averaging orders, and both have a random-forest historical denominator. This report validates the one built as the mean of the annual Eq. (1) M; the other is built as the Eq. (1) of the mean FPI (the method). Eq. (1) is convex, so the two are not the same layer — at the M level the gap is about 3%, and against Revised_M_Roxburgh it is the difference between ×0.944 and ×0.991. The question here is whether it changes the validation.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run</w:t>
            </w:r>
          </w:p>
        </w:tc>
        <w:tc>
          <w:tcPr>
            <w:tcW w:type="dxa" w:w="864"/>
          </w:tcPr>
          <w:p>
            <w:r>
              <w:rPr>
                <w:b/>
                <w:sz w:val="18"/>
              </w:rPr>
              <w:t>n</w:t>
            </w:r>
          </w:p>
        </w:tc>
        <w:tc>
          <w:tcPr>
            <w:tcW w:type="dxa" w:w="1584"/>
          </w:tcPr>
          <w:p>
            <w:r>
              <w:rPr>
                <w:b/>
                <w:sz w:val="18"/>
              </w:rPr>
              <w:t>this order</w:t>
            </w:r>
          </w:p>
        </w:tc>
        <w:tc>
          <w:tcPr>
            <w:tcW w:type="dxa" w:w="1584"/>
          </w:tcPr>
          <w:p>
            <w:r>
              <w:rPr>
                <w:b/>
                <w:sz w:val="18"/>
              </w:rPr>
              <w:t>other order</w:t>
            </w:r>
          </w:p>
        </w:tc>
        <w:tc>
          <w:tcPr>
            <w:tcW w:type="dxa" w:w="1584"/>
          </w:tcPr>
          <w:p>
            <w:r>
              <w:rPr>
                <w:b/>
                <w:sz w:val="18"/>
              </w:rPr>
              <w:t>difference</w:t>
            </w:r>
          </w:p>
        </w:tc>
      </w:tr>
      <w:tr>
        <w:tc>
          <w:tcPr>
            <w:tcW w:type="dxa" w:w="2880"/>
          </w:tcPr>
          <w:p>
            <w:r>
              <w:rPr>
                <w:sz w:val="18"/>
              </w:rPr>
              <w:t>present-day analogue</w:t>
            </w:r>
          </w:p>
        </w:tc>
        <w:tc>
          <w:tcPr>
            <w:tcW w:type="dxa" w:w="864"/>
          </w:tcPr>
          <w:p>
            <w:r>
              <w:rPr>
                <w:sz w:val="18"/>
              </w:rPr>
              <w:t>653</w:t>
            </w:r>
          </w:p>
        </w:tc>
        <w:tc>
          <w:tcPr>
            <w:tcW w:type="dxa" w:w="1584"/>
          </w:tcPr>
          <w:p>
            <w:r>
              <w:rPr>
                <w:sz w:val="18"/>
              </w:rPr>
              <w:t>0.643</w:t>
            </w:r>
          </w:p>
        </w:tc>
        <w:tc>
          <w:tcPr>
            <w:tcW w:type="dxa" w:w="1584"/>
          </w:tcPr>
          <w:p>
            <w:r>
              <w:rPr>
                <w:sz w:val="18"/>
              </w:rPr>
              <w:t>0.643</w:t>
            </w:r>
          </w:p>
        </w:tc>
        <w:tc>
          <w:tcPr>
            <w:tcW w:type="dxa" w:w="1584"/>
          </w:tcPr>
          <w:p>
            <w:r>
              <w:rPr>
                <w:sz w:val="18"/>
              </w:rPr>
              <w:t>+0.00%</w:t>
            </w:r>
          </w:p>
        </w:tc>
      </w:tr>
      <w:tr>
        <w:tc>
          <w:tcPr>
            <w:tcW w:type="dxa" w:w="2880"/>
          </w:tcPr>
          <w:p>
            <w:r>
              <w:rPr>
                <w:sz w:val="18"/>
              </w:rPr>
              <w:t>random cells (null)</w:t>
            </w:r>
          </w:p>
        </w:tc>
        <w:tc>
          <w:tcPr>
            <w:tcW w:type="dxa" w:w="864"/>
          </w:tcPr>
          <w:p>
            <w:r>
              <w:rPr>
                <w:sz w:val="18"/>
              </w:rPr>
              <w:t>688</w:t>
            </w:r>
          </w:p>
        </w:tc>
        <w:tc>
          <w:tcPr>
            <w:tcW w:type="dxa" w:w="1584"/>
          </w:tcPr>
          <w:p>
            <w:r>
              <w:rPr>
                <w:sz w:val="18"/>
              </w:rPr>
              <w:t>0.593</w:t>
            </w:r>
          </w:p>
        </w:tc>
        <w:tc>
          <w:tcPr>
            <w:tcW w:type="dxa" w:w="1584"/>
          </w:tcPr>
          <w:p>
            <w:r>
              <w:rPr>
                <w:sz w:val="18"/>
              </w:rPr>
              <w:t>0.593</w:t>
            </w:r>
          </w:p>
        </w:tc>
        <w:tc>
          <w:tcPr>
            <w:tcW w:type="dxa" w:w="1584"/>
          </w:tcPr>
          <w:p>
            <w:r>
              <w:rPr>
                <w:sz w:val="18"/>
              </w:rPr>
              <w:t>+0.00%</w:t>
            </w:r>
          </w:p>
        </w:tc>
      </w:tr>
      <w:tr>
        <w:tc>
          <w:tcPr>
            <w:tcW w:type="dxa" w:w="2880"/>
          </w:tcPr>
          <w:p>
            <w:r>
              <w:rPr>
                <w:sz w:val="18"/>
              </w:rPr>
              <w:t>SSP126 2035-2064</w:t>
            </w:r>
          </w:p>
        </w:tc>
        <w:tc>
          <w:tcPr>
            <w:tcW w:type="dxa" w:w="864"/>
          </w:tcPr>
          <w:p>
            <w:r>
              <w:rPr>
                <w:sz w:val="18"/>
              </w:rPr>
              <w:t>622</w:t>
            </w:r>
          </w:p>
        </w:tc>
        <w:tc>
          <w:tcPr>
            <w:tcW w:type="dxa" w:w="1584"/>
          </w:tcPr>
          <w:p>
            <w:r>
              <w:rPr>
                <w:sz w:val="18"/>
              </w:rPr>
              <w:t>0.612</w:t>
            </w:r>
          </w:p>
        </w:tc>
        <w:tc>
          <w:tcPr>
            <w:tcW w:type="dxa" w:w="1584"/>
          </w:tcPr>
          <w:p>
            <w:r>
              <w:rPr>
                <w:sz w:val="18"/>
              </w:rPr>
              <w:t>0.612</w:t>
            </w:r>
          </w:p>
        </w:tc>
        <w:tc>
          <w:tcPr>
            <w:tcW w:type="dxa" w:w="1584"/>
          </w:tcPr>
          <w:p>
            <w:r>
              <w:rPr>
                <w:sz w:val="18"/>
              </w:rPr>
              <w:t>+0.00%</w:t>
            </w:r>
          </w:p>
        </w:tc>
      </w:tr>
      <w:tr>
        <w:tc>
          <w:tcPr>
            <w:tcW w:type="dxa" w:w="2880"/>
          </w:tcPr>
          <w:p>
            <w:r>
              <w:rPr>
                <w:sz w:val="18"/>
              </w:rPr>
              <w:t>SSP245 2035-2064</w:t>
            </w:r>
          </w:p>
        </w:tc>
        <w:tc>
          <w:tcPr>
            <w:tcW w:type="dxa" w:w="864"/>
          </w:tcPr>
          <w:p>
            <w:r>
              <w:rPr>
                <w:sz w:val="18"/>
              </w:rPr>
              <w:t>612</w:t>
            </w:r>
          </w:p>
        </w:tc>
        <w:tc>
          <w:tcPr>
            <w:tcW w:type="dxa" w:w="1584"/>
          </w:tcPr>
          <w:p>
            <w:r>
              <w:rPr>
                <w:sz w:val="18"/>
              </w:rPr>
              <w:t>0.612</w:t>
            </w:r>
          </w:p>
        </w:tc>
        <w:tc>
          <w:tcPr>
            <w:tcW w:type="dxa" w:w="1584"/>
          </w:tcPr>
          <w:p>
            <w:r>
              <w:rPr>
                <w:sz w:val="18"/>
              </w:rPr>
              <w:t>0.612</w:t>
            </w:r>
          </w:p>
        </w:tc>
        <w:tc>
          <w:tcPr>
            <w:tcW w:type="dxa" w:w="1584"/>
          </w:tcPr>
          <w:p>
            <w:r>
              <w:rPr>
                <w:sz w:val="18"/>
              </w:rPr>
              <w:t>+0.00%</w:t>
            </w:r>
          </w:p>
        </w:tc>
      </w:tr>
      <w:tr>
        <w:tc>
          <w:tcPr>
            <w:tcW w:type="dxa" w:w="2880"/>
          </w:tcPr>
          <w:p>
            <w:r>
              <w:rPr>
                <w:sz w:val="18"/>
              </w:rPr>
              <w:t>SSP370 2035-2064</w:t>
            </w:r>
          </w:p>
        </w:tc>
        <w:tc>
          <w:tcPr>
            <w:tcW w:type="dxa" w:w="864"/>
          </w:tcPr>
          <w:p>
            <w:r>
              <w:rPr>
                <w:sz w:val="18"/>
              </w:rPr>
              <w:t>584</w:t>
            </w:r>
          </w:p>
        </w:tc>
        <w:tc>
          <w:tcPr>
            <w:tcW w:type="dxa" w:w="1584"/>
          </w:tcPr>
          <w:p>
            <w:r>
              <w:rPr>
                <w:sz w:val="18"/>
              </w:rPr>
              <w:t>0.605</w:t>
            </w:r>
          </w:p>
        </w:tc>
        <w:tc>
          <w:tcPr>
            <w:tcW w:type="dxa" w:w="1584"/>
          </w:tcPr>
          <w:p>
            <w:r>
              <w:rPr>
                <w:sz w:val="18"/>
              </w:rPr>
              <w:t>0.605</w:t>
            </w:r>
          </w:p>
        </w:tc>
        <w:tc>
          <w:tcPr>
            <w:tcW w:type="dxa" w:w="1584"/>
          </w:tcPr>
          <w:p>
            <w:r>
              <w:rPr>
                <w:sz w:val="18"/>
              </w:rPr>
              <w:t>+0.00%</w:t>
            </w:r>
          </w:p>
        </w:tc>
      </w:tr>
      <w:tr>
        <w:tc>
          <w:tcPr>
            <w:tcW w:type="dxa" w:w="2880"/>
          </w:tcPr>
          <w:p>
            <w:r>
              <w:rPr>
                <w:sz w:val="18"/>
              </w:rPr>
              <w:t>SSP585 2035-2064</w:t>
            </w:r>
          </w:p>
        </w:tc>
        <w:tc>
          <w:tcPr>
            <w:tcW w:type="dxa" w:w="864"/>
          </w:tcPr>
          <w:p>
            <w:r>
              <w:rPr>
                <w:sz w:val="18"/>
              </w:rPr>
              <w:t>542</w:t>
            </w:r>
          </w:p>
        </w:tc>
        <w:tc>
          <w:tcPr>
            <w:tcW w:type="dxa" w:w="1584"/>
          </w:tcPr>
          <w:p>
            <w:r>
              <w:rPr>
                <w:sz w:val="18"/>
              </w:rPr>
              <w:t>0.549</w:t>
            </w:r>
          </w:p>
        </w:tc>
        <w:tc>
          <w:tcPr>
            <w:tcW w:type="dxa" w:w="1584"/>
          </w:tcPr>
          <w:p>
            <w:r>
              <w:rPr>
                <w:sz w:val="18"/>
              </w:rPr>
              <w:t>0.549</w:t>
            </w:r>
          </w:p>
        </w:tc>
        <w:tc>
          <w:tcPr>
            <w:tcW w:type="dxa" w:w="1584"/>
          </w:tcPr>
          <w:p>
            <w:r>
              <w:rPr>
                <w:sz w:val="18"/>
              </w:rPr>
              <w:t>+0.00%</w:t>
            </w:r>
          </w:p>
        </w:tc>
      </w:tr>
      <w:tr>
        <w:tc>
          <w:tcPr>
            <w:tcW w:type="dxa" w:w="2880"/>
          </w:tcPr>
          <w:p>
            <w:r>
              <w:rPr>
                <w:sz w:val="18"/>
              </w:rPr>
              <w:t>SSP126 2070-2099</w:t>
            </w:r>
          </w:p>
        </w:tc>
        <w:tc>
          <w:tcPr>
            <w:tcW w:type="dxa" w:w="864"/>
          </w:tcPr>
          <w:p>
            <w:r>
              <w:rPr>
                <w:sz w:val="18"/>
              </w:rPr>
              <w:t>603</w:t>
            </w:r>
          </w:p>
        </w:tc>
        <w:tc>
          <w:tcPr>
            <w:tcW w:type="dxa" w:w="1584"/>
          </w:tcPr>
          <w:p>
            <w:r>
              <w:rPr>
                <w:sz w:val="18"/>
              </w:rPr>
              <w:t>0.560</w:t>
            </w:r>
          </w:p>
        </w:tc>
        <w:tc>
          <w:tcPr>
            <w:tcW w:type="dxa" w:w="1584"/>
          </w:tcPr>
          <w:p>
            <w:r>
              <w:rPr>
                <w:sz w:val="18"/>
              </w:rPr>
              <w:t>0.560</w:t>
            </w:r>
          </w:p>
        </w:tc>
        <w:tc>
          <w:tcPr>
            <w:tcW w:type="dxa" w:w="1584"/>
          </w:tcPr>
          <w:p>
            <w:r>
              <w:rPr>
                <w:sz w:val="18"/>
              </w:rPr>
              <w:t>+0.00%</w:t>
            </w:r>
          </w:p>
        </w:tc>
      </w:tr>
      <w:tr>
        <w:tc>
          <w:tcPr>
            <w:tcW w:type="dxa" w:w="2880"/>
          </w:tcPr>
          <w:p>
            <w:r>
              <w:rPr>
                <w:sz w:val="18"/>
              </w:rPr>
              <w:t>SSP245 2070-2099</w:t>
            </w:r>
          </w:p>
        </w:tc>
        <w:tc>
          <w:tcPr>
            <w:tcW w:type="dxa" w:w="864"/>
          </w:tcPr>
          <w:p>
            <w:r>
              <w:rPr>
                <w:sz w:val="18"/>
              </w:rPr>
              <w:t>304</w:t>
            </w:r>
          </w:p>
        </w:tc>
        <w:tc>
          <w:tcPr>
            <w:tcW w:type="dxa" w:w="1584"/>
          </w:tcPr>
          <w:p>
            <w:r>
              <w:rPr>
                <w:sz w:val="18"/>
              </w:rPr>
              <w:t>0.416</w:t>
            </w:r>
          </w:p>
        </w:tc>
        <w:tc>
          <w:tcPr>
            <w:tcW w:type="dxa" w:w="1584"/>
          </w:tcPr>
          <w:p>
            <w:r>
              <w:rPr>
                <w:sz w:val="18"/>
              </w:rPr>
              <w:t>0.416</w:t>
            </w:r>
          </w:p>
        </w:tc>
        <w:tc>
          <w:tcPr>
            <w:tcW w:type="dxa" w:w="1584"/>
          </w:tcPr>
          <w:p>
            <w:r>
              <w:rPr>
                <w:sz w:val="18"/>
              </w:rPr>
              <w:t>+0.00%</w:t>
            </w:r>
          </w:p>
        </w:tc>
      </w:tr>
      <w:tr>
        <w:tc>
          <w:tcPr>
            <w:tcW w:type="dxa" w:w="2880"/>
          </w:tcPr>
          <w:p>
            <w:r>
              <w:rPr>
                <w:sz w:val="18"/>
              </w:rPr>
              <w:t>SSP370 2070-2099</w:t>
            </w:r>
          </w:p>
        </w:tc>
        <w:tc>
          <w:tcPr>
            <w:tcW w:type="dxa" w:w="864"/>
          </w:tcPr>
          <w:p>
            <w:r>
              <w:rPr>
                <w:sz w:val="18"/>
              </w:rPr>
              <w:t>69</w:t>
            </w:r>
          </w:p>
        </w:tc>
        <w:tc>
          <w:tcPr>
            <w:tcW w:type="dxa" w:w="1584"/>
          </w:tcPr>
          <w:p>
            <w:r>
              <w:rPr>
                <w:sz w:val="18"/>
              </w:rPr>
              <w:t>0.675</w:t>
            </w:r>
          </w:p>
        </w:tc>
        <w:tc>
          <w:tcPr>
            <w:tcW w:type="dxa" w:w="1584"/>
          </w:tcPr>
          <w:p>
            <w:r>
              <w:rPr>
                <w:sz w:val="18"/>
              </w:rPr>
              <w:t>0.675</w:t>
            </w:r>
          </w:p>
        </w:tc>
        <w:tc>
          <w:tcPr>
            <w:tcW w:type="dxa" w:w="1584"/>
          </w:tcPr>
          <w:p>
            <w:r>
              <w:rPr>
                <w:sz w:val="18"/>
              </w:rPr>
              <w:t>+0.00%</w:t>
            </w:r>
          </w:p>
        </w:tc>
      </w:tr>
      <w:tr>
        <w:tc>
          <w:tcPr>
            <w:tcW w:type="dxa" w:w="2880"/>
          </w:tcPr>
          <w:p>
            <w:r>
              <w:rPr>
                <w:sz w:val="18"/>
              </w:rPr>
              <w:t>SSP585 2070-2099</w:t>
            </w:r>
          </w:p>
        </w:tc>
        <w:tc>
          <w:tcPr>
            <w:tcW w:type="dxa" w:w="864"/>
          </w:tcPr>
          <w:p>
            <w:r>
              <w:rPr>
                <w:sz w:val="18"/>
              </w:rPr>
              <w:t>16</w:t>
            </w:r>
          </w:p>
        </w:tc>
        <w:tc>
          <w:tcPr>
            <w:tcW w:type="dxa" w:w="1584"/>
          </w:tcPr>
          <w:p>
            <w:r>
              <w:rPr>
                <w:sz w:val="18"/>
              </w:rPr>
              <w:t>0.785</w:t>
            </w:r>
          </w:p>
        </w:tc>
        <w:tc>
          <w:tcPr>
            <w:tcW w:type="dxa" w:w="1584"/>
          </w:tcPr>
          <w:p>
            <w:r>
              <w:rPr>
                <w:sz w:val="18"/>
              </w:rPr>
              <w:t>0.785</w:t>
            </w:r>
          </w:p>
        </w:tc>
        <w:tc>
          <w:tcPr>
            <w:tcW w:type="dxa" w:w="1584"/>
          </w:tcPr>
          <w:p>
            <w:r>
              <w:rPr>
                <w:sz w:val="18"/>
              </w:rPr>
              <w:t>+0.00%</w:t>
            </w:r>
          </w:p>
        </w:tc>
      </w:tr>
    </w:tbl>
    <w:p/>
    <w:p>
      <w:r>
        <w:t>The largest disagreement between the two orders is 0.00% of the median ratio, and the two controls are identical to four decimal places. That is the expected result and it is worth stating explicitly: the Jensen gap enters the numerator and the denominator in the same direction, so once both sides of the ratio are built in the same order it very largely cancels. The averaging order therefore still matters for the headline change against Revised_M_Roxburgh — where only the numerator carries it — but it does not move this validation at all, and no conclusion here rests on the choice.</w:t>
      </w:r>
    </w:p>
    <w:p>
      <w:r>
        <w:t>The controls are identical for a structural reason, not a coincidence: averaged over the 30 historical years, both orders collapse to λ × Original_M_2004, which is Revised_M_Roxburgh. The present-day gate cannot distinguish them.</w:t>
      </w:r>
    </w:p>
    <w:p>
      <w:pPr>
        <w:pStyle w:val="Heading2"/>
      </w:pPr>
      <w:r>
        <w:t>By maturity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sz w:val="18"/>
              </w:rPr>
              <w:t>maturity</w:t>
            </w:r>
          </w:p>
        </w:tc>
        <w:tc>
          <w:tcPr>
            <w:tcW w:type="dxa" w:w="1728"/>
          </w:tcPr>
          <w:p>
            <w:r>
              <w:rPr>
                <w:b/>
                <w:sz w:val="18"/>
              </w:rPr>
              <w:t>sites (median)</w:t>
            </w:r>
          </w:p>
        </w:tc>
        <w:tc>
          <w:tcPr>
            <w:tcW w:type="dxa" w:w="1728"/>
          </w:tcPr>
          <w:p>
            <w:r>
              <w:rPr>
                <w:b/>
                <w:sz w:val="18"/>
              </w:rPr>
              <w:t>median ratio</w:t>
            </w:r>
          </w:p>
        </w:tc>
        <w:tc>
          <w:tcPr>
            <w:tcW w:type="dxa" w:w="1728"/>
          </w:tcPr>
          <w:p>
            <w:r>
              <w:rPr>
                <w:b/>
                <w:sz w:val="18"/>
              </w:rPr>
              <w:t>Spearman ρ</w:t>
            </w:r>
          </w:p>
        </w:tc>
      </w:tr>
      <w:tr>
        <w:tc>
          <w:tcPr>
            <w:tcW w:type="dxa" w:w="2304"/>
          </w:tcPr>
          <w:p>
            <w:r>
              <w:rPr>
                <w:sz w:val="18"/>
              </w:rPr>
              <w:t>likely mature</w:t>
            </w:r>
          </w:p>
        </w:tc>
        <w:tc>
          <w:tcPr>
            <w:tcW w:type="dxa" w:w="1728"/>
          </w:tcPr>
          <w:p>
            <w:r>
              <w:rPr>
                <w:sz w:val="18"/>
              </w:rPr>
              <w:t>279</w:t>
            </w:r>
          </w:p>
        </w:tc>
        <w:tc>
          <w:tcPr>
            <w:tcW w:type="dxa" w:w="1728"/>
          </w:tcPr>
          <w:p>
            <w:r>
              <w:rPr>
                <w:sz w:val="18"/>
              </w:rPr>
              <w:t>0.39</w:t>
            </w:r>
          </w:p>
        </w:tc>
        <w:tc>
          <w:tcPr>
            <w:tcW w:type="dxa" w:w="1728"/>
          </w:tcPr>
          <w:p>
            <w:r>
              <w:rPr>
                <w:sz w:val="18"/>
              </w:rPr>
              <w:t>0.14</w:t>
            </w:r>
          </w:p>
        </w:tc>
      </w:tr>
      <w:tr>
        <w:tc>
          <w:tcPr>
            <w:tcW w:type="dxa" w:w="2304"/>
          </w:tcPr>
          <w:p>
            <w:r>
              <w:rPr>
                <w:sz w:val="18"/>
              </w:rPr>
              <w:t>verified mature</w:t>
            </w:r>
          </w:p>
        </w:tc>
        <w:tc>
          <w:tcPr>
            <w:tcW w:type="dxa" w:w="1728"/>
          </w:tcPr>
          <w:p>
            <w:r>
              <w:rPr>
                <w:sz w:val="18"/>
              </w:rPr>
              <w:t>409</w:t>
            </w:r>
          </w:p>
        </w:tc>
        <w:tc>
          <w:tcPr>
            <w:tcW w:type="dxa" w:w="1728"/>
          </w:tcPr>
          <w:p>
            <w:r>
              <w:rPr>
                <w:sz w:val="18"/>
              </w:rPr>
              <w:t>0.92</w:t>
            </w:r>
          </w:p>
        </w:tc>
        <w:tc>
          <w:tcPr>
            <w:tcW w:type="dxa" w:w="1728"/>
          </w:tcPr>
          <w:p>
            <w:r>
              <w:rPr>
                <w:sz w:val="18"/>
              </w:rPr>
              <w:t>-0.04</w:t>
            </w:r>
          </w:p>
        </w:tc>
      </w:tr>
    </w:tbl>
    <w:p/>
    <w:p>
      <w:r>
        <w:t>Verified mature sites are the ones the test is really about: they are the closest thing the library has to a stand at its maximum, so their ratio is the least contaminated by immaturity.</w:t>
      </w:r>
    </w:p>
    <w:p>
      <w:pPr>
        <w:pStyle w:val="Heading1"/>
      </w:pPr>
      <w:r>
        <w:t>What to conclude, and what not to</w:t>
      </w:r>
    </w:p>
    <w:p>
      <w:pPr>
        <w:pStyle w:val="IntenseQuote"/>
      </w:pPr>
      <w:r>
        <w:t>The honest headline is that the present-day gate does not pass. At the site's own cell, M' is 0.61 times the observed biomass at the median and ranks the sites barely better than chance (Spearman ρ 0.15 against 0.04 for random cells; R² in logs is negative). Everything downstream inherits that, so the eight scenario-window numbers below should be read as a description of how the matching behaves, not as evidence that M' predicts biomass at a point.</w:t>
      </w:r>
    </w:p>
    <w:p>
      <w:r>
        <w:t>Three reasons that outcome is not, on its own, a verdict on the projection. A 1 km cell's M' is the potential of the whole cell while an NBL plot is a fraction of a hectare inside it, and the two are not the same quantity. The library records no stand age, so the sample still contains stands well short of their maximum. And no vegetation constraint was available when the plan was written — two cells can share a climate and a soil and carry different vegetation — although with the NVIS constraint in place that objection is now answered. What the test does establish is the ordering of the controls, and that ordering is informative in itself.</w:t>
      </w:r>
    </w:p>
    <w:p>
      <w:pPr>
        <w:pStyle w:val="ListBullet"/>
      </w:pPr>
      <w:r>
        <w:t>Read the future runs against the present-day-analogue control, not against perfect agreement. The control carries the matching method's own error; only the difference between it and a future run is attributable to the projection.</w:t>
      </w:r>
    </w:p>
    <w:p>
      <w:pPr>
        <w:pStyle w:val="ListBullet"/>
      </w:pPr>
      <w:r>
        <w:t>A ratio above 1 is the expected direction. M' is a maximum and the library records stands of unknown age, so some over-prediction is built in. Under-prediction is the finding that would matter.</w:t>
      </w:r>
    </w:p>
    <w:p>
      <w:pPr>
        <w:pStyle w:val="ListBullet"/>
      </w:pPr>
      <w:r>
        <w:t>The absolute level is anchored, not tested. λ × Original_M_2004 is Revised_M_Roxburgh, which came from a random forest fitted to NBL plots, so agreement in level is partly circular. What is genuinely tested here is whether the projected climate change moves M' in a way consistent with the biomass observed under comparable climates today.</w:t>
      </w:r>
    </w:p>
    <w:p>
      <w:pPr>
        <w:pStyle w:val="ListBullet"/>
      </w:pPr>
      <w:r>
        <w:t>The vegetation constraint is applied, and it raises the null more than it raises the runs. Matching within the pre-1750 NVIS subgroup is the right thing to do and it was the largest missing piece, but the result is that the random control becomes nearly as good as the climate matching. Report the null alongside every ratio; a ratio quoted on its own from this test would overstate what it demonstrates.</w:t>
      </w:r>
    </w:p>
    <w:p>
      <w:pPr>
        <w:pStyle w:val="ListBullet"/>
      </w:pPr>
      <w:r>
        <w:t>Riparian and floodplain sites are unfiltered — the library has no field for them — so a residue of sites whose biomass is supported by water the climate does not explain remains in the sample.</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744"/>
          </w:tcPr>
          <w:p>
            <w:r>
              <w:rPr>
                <w:b/>
                <w:sz w:val="18"/>
              </w:rPr>
              <w:t>file</w:t>
            </w:r>
          </w:p>
        </w:tc>
        <w:tc>
          <w:tcPr>
            <w:tcW w:type="dxa" w:w="5328"/>
          </w:tcPr>
          <w:p>
            <w:r>
              <w:rPr>
                <w:b/>
                <w:sz w:val="18"/>
              </w:rPr>
              <w:t>contents</w:t>
            </w:r>
          </w:p>
        </w:tc>
      </w:tr>
      <w:tr>
        <w:tc>
          <w:tcPr>
            <w:tcW w:type="dxa" w:w="3744"/>
          </w:tcPr>
          <w:p>
            <w:r>
              <w:rPr>
                <w:sz w:val="18"/>
              </w:rPr>
              <w:t>outputs/reference_table.csv</w:t>
            </w:r>
          </w:p>
        </w:tc>
        <w:tc>
          <w:tcPr>
            <w:tcW w:type="dxa" w:w="5328"/>
          </w:tcPr>
          <w:p>
            <w:r>
              <w:rPr>
                <w:sz w:val="18"/>
              </w:rPr>
              <w:t>Dataframe 1: sites × 174 predictors + AGB</w:t>
            </w:r>
          </w:p>
        </w:tc>
      </w:tr>
      <w:tr>
        <w:tc>
          <w:tcPr>
            <w:tcW w:type="dxa" w:w="3744"/>
          </w:tcPr>
          <w:p>
            <w:r>
              <w:rPr>
                <w:sz w:val="18"/>
              </w:rPr>
              <w:t>outputs/tables/*.npz</w:t>
            </w:r>
          </w:p>
        </w:tc>
        <w:tc>
          <w:tcPr>
            <w:tcW w:type="dxa" w:w="5328"/>
          </w:tcPr>
          <w:p>
            <w:r>
              <w:rPr>
                <w:sz w:val="18"/>
              </w:rPr>
              <w:t>Dataframe 2: nine tables of grid cells × 174 predictors + M'</w:t>
            </w:r>
          </w:p>
        </w:tc>
      </w:tr>
      <w:tr>
        <w:tc>
          <w:tcPr>
            <w:tcW w:type="dxa" w:w="3744"/>
          </w:tcPr>
          <w:p>
            <w:r>
              <w:rPr>
                <w:sz w:val="18"/>
              </w:rPr>
              <w:t>outputs/matches*.csv</w:t>
            </w:r>
          </w:p>
        </w:tc>
        <w:tc>
          <w:tcPr>
            <w:tcW w:type="dxa" w:w="5328"/>
          </w:tcPr>
          <w:p>
            <w:r>
              <w:rPr>
                <w:sz w:val="18"/>
              </w:rPr>
              <w:t>every site's match, per run, with distances</w:t>
            </w:r>
          </w:p>
        </w:tc>
      </w:tr>
      <w:tr>
        <w:tc>
          <w:tcPr>
            <w:tcW w:type="dxa" w:w="3744"/>
          </w:tcPr>
          <w:p>
            <w:r>
              <w:rPr>
                <w:sz w:val="18"/>
              </w:rPr>
              <w:t>outputs/metrics_by_run*.csv</w:t>
            </w:r>
          </w:p>
        </w:tc>
        <w:tc>
          <w:tcPr>
            <w:tcW w:type="dxa" w:w="5328"/>
          </w:tcPr>
          <w:p>
            <w:r>
              <w:rPr>
                <w:sz w:val="18"/>
              </w:rPr>
              <w:t>the statistics above, per run</w:t>
            </w:r>
          </w:p>
        </w:tc>
      </w:tr>
      <w:tr>
        <w:tc>
          <w:tcPr>
            <w:tcW w:type="dxa" w:w="3744"/>
          </w:tcPr>
          <w:p>
            <w:r>
              <w:rPr>
                <w:sz w:val="18"/>
              </w:rPr>
              <w:t>outputs/metrics_by_maturity*.csv</w:t>
            </w:r>
          </w:p>
        </w:tc>
        <w:tc>
          <w:tcPr>
            <w:tcW w:type="dxa" w:w="5328"/>
          </w:tcPr>
          <w:p>
            <w:r>
              <w:rPr>
                <w:sz w:val="18"/>
              </w:rPr>
              <w:t>the same, split by maturity class</w:t>
            </w:r>
          </w:p>
        </w:tc>
      </w:tr>
      <w:tr>
        <w:tc>
          <w:tcPr>
            <w:tcW w:type="dxa" w:w="3744"/>
          </w:tcPr>
          <w:p>
            <w:r>
              <w:rPr>
                <w:sz w:val="18"/>
              </w:rPr>
              <w:t>outputs/no_analogue_summary*.csv</w:t>
            </w:r>
          </w:p>
        </w:tc>
        <w:tc>
          <w:tcPr>
            <w:tcW w:type="dxa" w:w="5328"/>
          </w:tcPr>
          <w:p>
            <w:r>
              <w:rPr>
                <w:sz w:val="18"/>
              </w:rPr>
              <w:t>share of sites with no analogue</w:t>
            </w:r>
          </w:p>
        </w:tc>
      </w:tr>
      <w:tr>
        <w:tc>
          <w:tcPr>
            <w:tcW w:type="dxa" w:w="3744"/>
          </w:tcPr>
          <w:p>
            <w:r>
              <w:rPr>
                <w:sz w:val="18"/>
              </w:rPr>
              <w:t>plots/fig_01..06</w:t>
            </w:r>
          </w:p>
        </w:tc>
        <w:tc>
          <w:tcPr>
            <w:tcW w:type="dxa" w:w="5328"/>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