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2026-09-21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pPr>
        <w:pStyle w:val="IntenseQuote"/>
      </w:pPr>
      <w:r>
        <w:t>The averaging order is fixed and stated once here, because the two possible orders are easy to confuse. THE METHOD IS: predict each year's FPI with the random forest, average the FPI over the period, then apply Eq. (1) to that mean — on both sides of the ratio. Calculation_future_M_CSIRO/Step_06 names this the layer to use "when feeding a single period value to FullCAM". Applying Eq. (1) to each year and averaging the results afterwards is a different number, because Eq. (1) is convex; it is reported throughout as the sensitivity, never as the headline.</w:t>
      </w:r>
    </w:p>
    <w:p>
      <w:pPr>
        <w:pStyle w:val="Heading2"/>
      </w:pPr>
      <w:r>
        <w:t>What Roxburgh et al. (2019) actually specify</w:t>
      </w:r>
    </w:p>
    <w:p>
      <w:r>
        <w:t>Roxburgh, S.H., Karunaratne, S.B., Paul, K.I., Lucas, R.M., Armston, J.D., Sun, J. (2019). A revised above-ground maximum biomass layer for the Australian continent. Forest Ecology and Management 432, 264-275. https://doi.org/10.1016/j.foreco.2018.09.011 — Section 2, p. 265, the paragraph that introduces Eq. (1):</w:t>
      </w:r>
    </w:p>
    <w:p>
      <w:pPr>
        <w:ind w:left="504"/>
      </w:pPr>
      <w:r>
        <w:rPr>
          <w:i/>
        </w:rPr>
        <w:t>“… the forest growth model 3-PG … to derive a dimensionless index (the Forest Productivity Index, or FPI) that summarises potential site productivity for any given location based on the Normalised Difference Vegetation Index (NDVI), soil fertility, vapour pressure deficit, soil water content, and temperature (Kesteven and Landsberg, 2004).”</w:t>
      </w:r>
    </w:p>
    <w:p>
      <w:pPr>
        <w:ind w:left="504"/>
      </w:pPr>
      <w:r>
        <w:rPr>
          <w:i/>
        </w:rPr>
        <w:t>“This relationship is used to calculate the parameter M (the predicted maximum AGB for a given FPI), and is given by M = (6.011 × √FPI − 5.291)²”  (Eq. 1)</w:t>
      </w:r>
    </w:p>
    <w:p>
      <w:pPr>
        <w:ind w:left="504"/>
      </w:pPr>
      <w:r>
        <w:rPr>
          <w:i/>
        </w:rPr>
        <w:t>“Parameter M is constant for any location in Australia, and is embedded within the FullCAM database as a spatial input layer at a resolution of 0.0025° (or approximately 250 m).”</w:t>
      </w:r>
    </w:p>
    <w:p>
      <w:r>
        <w:t>Three things follow, and together they settle the averaging order. FPI is defined as a property of a LOCATION — "potential site productivity for any given location" — not of a location in a particular year. Eq. (1) is written for "a given FPI", one value in, one value out. And M is "constant for any location in Australia", a single static layer in the FullCAM database. Nowhere does the paper evaluate Eq. (1) on a series of annual FPI values, because in FullCAM no such series exists: the FPI layer Eq. (1) was calibrated against is itself a long-term climatological index (Kesteven and Landsberg, 2004; the empirical relationship is Richards and Brack, 2004).</w:t>
      </w:r>
    </w:p>
    <w:p>
      <w:r>
        <w:t>So the faithful reading is one FPI value per location entering Eq. (1) — which, for a 30-year projection window, means the window-mean FPI. That is the method used here. Applying Eq. (1) to each projected year and averaging the resulting M afterwards is an extension the paper does not describe, and because Eq. (1) is convex above its root it returns a systematically larger number (a median factor of 1.0295 on this domain). It is reported as a sensitivity for exactly that reason.</w:t>
      </w:r>
    </w:p>
    <w:p>
      <w:r>
        <w:t>One honest qualification: the paper does not state an averaging rule, because it never faces the question — it had no time-varying FPI to average. The rule above is inferred from how FPI and M are defined, not quoted from a sentence that settles it. What can be said without inference is that the per-year route has no support in the paper, while the mean-FPI route matches the quantity Eq. (1) was calibrated on.</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4464"/>
          </w:tcPr>
          <w:p>
            <w:r>
              <w:rPr>
                <w:b/>
                <w:sz w:val="18"/>
              </w:rPr>
            </w:r>
          </w:p>
        </w:tc>
        <w:tc>
          <w:tcPr>
            <w:tcW w:type="dxa" w:w="1152"/>
          </w:tcPr>
          <w:p>
            <w:r>
              <w:rPr>
                <w:b/>
                <w:sz w:val="18"/>
              </w:rPr>
              <w:t>R²</w:t>
            </w:r>
          </w:p>
        </w:tc>
        <w:tc>
          <w:tcPr>
            <w:tcW w:type="dxa" w:w="1152"/>
          </w:tcPr>
          <w:p>
            <w:r>
              <w:rPr>
                <w:b/>
                <w:sz w:val="18"/>
              </w:rPr>
              <w:t>RMSE</w:t>
            </w:r>
          </w:p>
        </w:tc>
        <w:tc>
          <w:tcPr>
            <w:tcW w:type="dxa" w:w="1152"/>
          </w:tcPr>
          <w:p>
            <w:r>
              <w:rPr>
                <w:b/>
                <w:sz w:val="18"/>
              </w:rPr>
              <w:t>MAE</w:t>
            </w:r>
          </w:p>
        </w:tc>
        <w:tc>
          <w:tcPr>
            <w:tcW w:type="dxa" w:w="1152"/>
          </w:tcPr>
          <w:p>
            <w:r>
              <w:rPr>
                <w:b/>
                <w:sz w:val="18"/>
              </w:rPr>
              <w:t>bias</w:t>
            </w:r>
          </w:p>
        </w:tc>
      </w:tr>
      <w:tr>
        <w:tc>
          <w:tcPr>
            <w:tcW w:type="dxa" w:w="4464"/>
          </w:tcPr>
          <w:p>
            <w:r>
              <w:rPr>
                <w:sz w:val="18"/>
              </w:rPr>
              <w:t>Out of fold, year-group CV — quote this</w:t>
            </w:r>
          </w:p>
        </w:tc>
        <w:tc>
          <w:tcPr>
            <w:tcW w:type="dxa" w:w="1152"/>
          </w:tcPr>
          <w:p>
            <w:r>
              <w:rPr>
                <w:sz w:val="18"/>
              </w:rPr>
              <w:t>0.931</w:t>
            </w:r>
          </w:p>
        </w:tc>
        <w:tc>
          <w:tcPr>
            <w:tcW w:type="dxa" w:w="1152"/>
          </w:tcPr>
          <w:p>
            <w:r>
              <w:rPr>
                <w:sz w:val="18"/>
              </w:rPr>
              <w:t>0.754</w:t>
            </w:r>
          </w:p>
        </w:tc>
        <w:tc>
          <w:tcPr>
            <w:tcW w:type="dxa" w:w="1152"/>
          </w:tcPr>
          <w:p>
            <w:r>
              <w:rPr>
                <w:sz w:val="18"/>
              </w:rPr>
              <w:t>0.548</w:t>
            </w:r>
          </w:p>
        </w:tc>
        <w:tc>
          <w:tcPr>
            <w:tcW w:type="dxa" w:w="1152"/>
          </w:tcPr>
          <w:p>
            <w:r>
              <w:rPr>
                <w:sz w:val="18"/>
              </w:rPr>
              <w:t>+0.004</w:t>
            </w:r>
          </w:p>
        </w:tc>
      </w:tr>
      <w:tr>
        <w:tc>
          <w:tcPr>
            <w:tcW w:type="dxa" w:w="4464"/>
          </w:tcPr>
          <w:p>
            <w:r>
              <w:rPr>
                <w:sz w:val="18"/>
              </w:rPr>
              <w:t>In sample, full grid, 30 years</w:t>
            </w:r>
          </w:p>
        </w:tc>
        <w:tc>
          <w:tcPr>
            <w:tcW w:type="dxa" w:w="1152"/>
          </w:tcPr>
          <w:p>
            <w:r>
              <w:rPr>
                <w:sz w:val="18"/>
              </w:rPr>
              <w:t>0.968</w:t>
            </w:r>
          </w:p>
        </w:tc>
        <w:tc>
          <w:tcPr>
            <w:tcW w:type="dxa" w:w="1152"/>
          </w:tcPr>
          <w:p>
            <w:r>
              <w:rPr>
                <w:sz w:val="18"/>
              </w:rPr>
              <w:t>0.513</w:t>
            </w:r>
          </w:p>
        </w:tc>
        <w:tc>
          <w:tcPr>
            <w:tcW w:type="dxa" w:w="1152"/>
          </w:tcPr>
          <w:p>
            <w:r>
              <w:rPr>
                <w:sz w:val="18"/>
              </w:rPr>
              <w:t>0.262</w:t>
            </w:r>
          </w:p>
        </w:tc>
        <w:tc>
          <w:tcPr>
            <w:tcW w:type="dxa" w:w="1152"/>
          </w:tcPr>
          <w:p>
            <w:r>
              <w:rPr>
                <w:sz w:val="18"/>
              </w:rPr>
              <w:t>+0.002</w:t>
            </w:r>
          </w:p>
        </w:tc>
      </w:tr>
    </w:tbl>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pPr>
        <w:jc w:val="center"/>
      </w:pPr>
      <w:r>
        <w:drawing>
          <wp:inline xmlns:a="http://schemas.openxmlformats.org/drawingml/2006/main" xmlns:pic="http://schemas.openxmlformats.org/drawingml/2006/picture">
            <wp:extent cx="5852160" cy="4530705"/>
            <wp:docPr id="1" name="Picture 1"/>
            <wp:cNvGraphicFramePr>
              <a:graphicFrameLocks noChangeAspect="1"/>
            </wp:cNvGraphicFramePr>
            <a:graphic>
              <a:graphicData uri="http://schemas.openxmlformats.org/drawingml/2006/picture">
                <pic:pic>
                  <pic:nvPicPr>
                    <pic:cNvPr id="0" name="fig_01a_modelled_vs_observed.png"/>
                    <pic:cNvPicPr/>
                  </pic:nvPicPr>
                  <pic:blipFill>
                    <a:blip r:embed="rId9"/>
                    <a:stretch>
                      <a:fillRect/>
                    </a:stretch>
                  </pic:blipFill>
                  <pic:spPr>
                    <a:xfrm>
                      <a:off x="0" y="0"/>
                      <a:ext cx="5852160" cy="4530705"/>
                    </a:xfrm>
                    <a:prstGeom prst="rect"/>
                  </pic:spPr>
                </pic:pic>
              </a:graphicData>
            </a:graphic>
          </wp:inline>
        </w:drawing>
      </w:r>
    </w:p>
    <w:p>
      <w:pPr>
        <w:jc w:val="left"/>
      </w:pPr>
      <w:r>
        <w:rPr>
          <w:i/>
          <w:color w:val="52514E"/>
          <w:sz w:val="17"/>
        </w:rPr>
        <w:t>Figure 1a. Modelled against observed FPI over all 30 historical years, 60,000 cells drawn per year, hexbin density on linear axes. The statistics in the panel are the pooled in-sample figures for the same 30 years, so the caption and the cloud describe one sample. (An earlier version plotted five hand-picked years beneath the 30-year statistics.)</w:t>
      </w:r>
    </w:p>
    <w:p>
      <w:pPr>
        <w:jc w:val="center"/>
      </w:pPr>
      <w:r>
        <w:drawing>
          <wp:inline xmlns:a="http://schemas.openxmlformats.org/drawingml/2006/main" xmlns:pic="http://schemas.openxmlformats.org/drawingml/2006/picture">
            <wp:extent cx="5852160" cy="4530705"/>
            <wp:docPr id="2" name="Picture 2"/>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The gap between the two lines is the cost of predicting an unseen year.</w:t>
      </w:r>
    </w:p>
    <w:p>
      <w:pPr>
        <w:jc w:val="center"/>
      </w:pPr>
      <w:r>
        <w:drawing>
          <wp:inline xmlns:a="http://schemas.openxmlformats.org/drawingml/2006/main" xmlns:pic="http://schemas.openxmlformats.org/drawingml/2006/picture">
            <wp:extent cx="5852160" cy="2018632"/>
            <wp:docPr id="3" name="Picture 3"/>
            <wp:cNvGraphicFramePr>
              <a:graphicFrameLocks noChangeAspect="1"/>
            </wp:cNvGraphicFramePr>
            <a:graphic>
              <a:graphicData uri="http://schemas.openxmlformats.org/drawingml/2006/picture">
                <pic:pic>
                  <pic:nvPicPr>
                    <pic:cNvPr id="0" name="fig_02_hist_fpi_maps.png"/>
                    <pic:cNvPicPr/>
                  </pic:nvPicPr>
                  <pic:blipFill>
                    <a:blip r:embed="rId11"/>
                    <a:stretch>
                      <a:fillRect/>
                    </a:stretch>
                  </pic:blipFill>
                  <pic:spPr>
                    <a:xfrm>
                      <a:off x="0" y="0"/>
                      <a:ext cx="5852160" cy="2018632"/>
                    </a:xfrm>
                    <a:prstGeom prst="rect"/>
                  </pic:spPr>
                </pic:pic>
              </a:graphicData>
            </a:graphic>
          </wp:inline>
        </w:drawing>
      </w:r>
    </w:p>
    <w:p>
      <w:pPr>
        <w:jc w:val="left"/>
      </w:pPr>
      <w:r>
        <w:rPr>
          <w:i/>
          <w:color w:val="52514E"/>
          <w:sz w:val="17"/>
        </w:rPr>
        <w:t>Figure 2. The 30-year mean FPI, observed (a) and modelled (b), and their difference (c). The pattern and the level both carry; residuals are fine-grained and concentrated along the forested east and south-west, not structured at continental scale.</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jc w:val="center"/>
      </w:pPr>
      <w:r>
        <w:drawing>
          <wp:inline xmlns:a="http://schemas.openxmlformats.org/drawingml/2006/main" xmlns:pic="http://schemas.openxmlformats.org/drawingml/2006/picture">
            <wp:extent cx="5852160" cy="2633063"/>
            <wp:docPr id="4" name="Picture 4"/>
            <wp:cNvGraphicFramePr>
              <a:graphicFrameLocks noChangeAspect="1"/>
            </wp:cNvGraphicFramePr>
            <a:graphic>
              <a:graphicData uri="http://schemas.openxmlformats.org/drawingml/2006/picture">
                <pic:pic>
                  <pic:nvPicPr>
                    <pic:cNvPr id="0" name="fig_03_denominator.png"/>
                    <pic:cNvPicPr/>
                  </pic:nvPicPr>
                  <pic:blipFill>
                    <a:blip r:embed="rId12"/>
                    <a:stretch>
                      <a:fillRect/>
                    </a:stretch>
                  </pic:blipFill>
                  <pic:spPr>
                    <a:xfrm>
                      <a:off x="0" y="0"/>
                      <a:ext cx="5852160" cy="2633063"/>
                    </a:xfrm>
                    <a:prstGeom prst="rect"/>
                  </pic:spPr>
                </pic:pic>
              </a:graphicData>
            </a:graphic>
          </wp:inline>
        </w:drawing>
      </w:r>
    </w:p>
    <w:p>
      <w:pPr>
        <w:jc w:val="left"/>
      </w:pPr>
      <w:r>
        <w:rPr>
          <w:i/>
          <w:color w:val="52514E"/>
          <w:sz w:val="17"/>
        </w:rPr>
        <w:t>Figure 3. The denominator swap (a, b) against the averaging order (c). The swap is centred on 1 and narrow; the averaging order is one-sided and about three per cent, because Jensen's inequality only ever runs one way.</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304"/>
          </w:tcPr>
          <w:p>
            <w:r>
              <w:rPr>
                <w:b/>
                <w:sz w:val="18"/>
              </w:rPr>
              <w:t>METHOD: Eq.(1) of mean FPI</w:t>
            </w:r>
          </w:p>
        </w:tc>
        <w:tc>
          <w:tcPr>
            <w:tcW w:type="dxa" w:w="1872"/>
          </w:tcPr>
          <w:p>
            <w:r>
              <w:rPr>
                <w:b/>
                <w:sz w:val="18"/>
              </w:rPr>
              <w:t>sensitivity: per-year</w:t>
            </w:r>
          </w:p>
        </w:tc>
        <w:tc>
          <w:tcPr>
            <w:tcW w:type="dxa" w:w="1872"/>
          </w:tcPr>
          <w:p>
            <w:r>
              <w:rPr>
                <w:b/>
                <w:sz w:val="18"/>
              </w:rPr>
              <w:t>Option B (published)</w:t>
            </w:r>
          </w:p>
        </w:tc>
      </w:tr>
      <w:tr>
        <w:tc>
          <w:tcPr>
            <w:tcW w:type="dxa" w:w="1296"/>
          </w:tcPr>
          <w:p>
            <w:r>
              <w:rPr>
                <w:sz w:val="18"/>
              </w:rPr>
              <w:t>SSP126</w:t>
            </w:r>
          </w:p>
        </w:tc>
        <w:tc>
          <w:tcPr>
            <w:tcW w:type="dxa" w:w="1440"/>
          </w:tcPr>
          <w:p>
            <w:r>
              <w:rPr>
                <w:sz w:val="18"/>
              </w:rPr>
              <w:t>2035-2064</w:t>
            </w:r>
          </w:p>
        </w:tc>
        <w:tc>
          <w:tcPr>
            <w:tcW w:type="dxa" w:w="2304"/>
          </w:tcPr>
          <w:p>
            <w:r>
              <w:rPr>
                <w:sz w:val="18"/>
              </w:rPr>
              <w:t>-2.6</w:t>
            </w:r>
          </w:p>
        </w:tc>
        <w:tc>
          <w:tcPr>
            <w:tcW w:type="dxa" w:w="1872"/>
          </w:tcPr>
          <w:p>
            <w:r>
              <w:rPr>
                <w:sz w:val="18"/>
              </w:rPr>
              <w:t>-3.2</w:t>
            </w:r>
          </w:p>
        </w:tc>
        <w:tc>
          <w:tcPr>
            <w:tcW w:type="dxa" w:w="1872"/>
          </w:tcPr>
          <w:p>
            <w:r>
              <w:rPr>
                <w:sz w:val="18"/>
              </w:rPr>
              <w:t>+1.1</w:t>
            </w:r>
          </w:p>
        </w:tc>
      </w:tr>
      <w:tr>
        <w:tc>
          <w:tcPr>
            <w:tcW w:type="dxa" w:w="1296"/>
          </w:tcPr>
          <w:p>
            <w:r>
              <w:rPr>
                <w:sz w:val="18"/>
              </w:rPr>
              <w:t>SSP245</w:t>
            </w:r>
          </w:p>
        </w:tc>
        <w:tc>
          <w:tcPr>
            <w:tcW w:type="dxa" w:w="1440"/>
          </w:tcPr>
          <w:p>
            <w:r>
              <w:rPr>
                <w:sz w:val="18"/>
              </w:rPr>
              <w:t>2035-2064</w:t>
            </w:r>
          </w:p>
        </w:tc>
        <w:tc>
          <w:tcPr>
            <w:tcW w:type="dxa" w:w="2304"/>
          </w:tcPr>
          <w:p>
            <w:r>
              <w:rPr>
                <w:sz w:val="18"/>
              </w:rPr>
              <w:t>-10.2</w:t>
            </w:r>
          </w:p>
        </w:tc>
        <w:tc>
          <w:tcPr>
            <w:tcW w:type="dxa" w:w="1872"/>
          </w:tcPr>
          <w:p>
            <w:r>
              <w:rPr>
                <w:sz w:val="18"/>
              </w:rPr>
              <w:t>-11.2</w:t>
            </w:r>
          </w:p>
        </w:tc>
        <w:tc>
          <w:tcPr>
            <w:tcW w:type="dxa" w:w="1872"/>
          </w:tcPr>
          <w:p>
            <w:r>
              <w:rPr>
                <w:sz w:val="18"/>
              </w:rPr>
              <w:t>-6.4</w:t>
            </w:r>
          </w:p>
        </w:tc>
      </w:tr>
      <w:tr>
        <w:tc>
          <w:tcPr>
            <w:tcW w:type="dxa" w:w="1296"/>
          </w:tcPr>
          <w:p>
            <w:r>
              <w:rPr>
                <w:sz w:val="18"/>
              </w:rPr>
              <w:t>SSP370</w:t>
            </w:r>
          </w:p>
        </w:tc>
        <w:tc>
          <w:tcPr>
            <w:tcW w:type="dxa" w:w="1440"/>
          </w:tcPr>
          <w:p>
            <w:r>
              <w:rPr>
                <w:sz w:val="18"/>
              </w:rPr>
              <w:t>2035-2064</w:t>
            </w:r>
          </w:p>
        </w:tc>
        <w:tc>
          <w:tcPr>
            <w:tcW w:type="dxa" w:w="2304"/>
          </w:tcPr>
          <w:p>
            <w:r>
              <w:rPr>
                <w:sz w:val="18"/>
              </w:rPr>
              <w:t>-4.3</w:t>
            </w:r>
          </w:p>
        </w:tc>
        <w:tc>
          <w:tcPr>
            <w:tcW w:type="dxa" w:w="1872"/>
          </w:tcPr>
          <w:p>
            <w:r>
              <w:rPr>
                <w:sz w:val="18"/>
              </w:rPr>
              <w:t>-5.1</w:t>
            </w:r>
          </w:p>
        </w:tc>
        <w:tc>
          <w:tcPr>
            <w:tcW w:type="dxa" w:w="1872"/>
          </w:tcPr>
          <w:p>
            <w:r>
              <w:rPr>
                <w:sz w:val="18"/>
              </w:rPr>
              <w:t>-0.7</w:t>
            </w:r>
          </w:p>
        </w:tc>
      </w:tr>
      <w:tr>
        <w:tc>
          <w:tcPr>
            <w:tcW w:type="dxa" w:w="1296"/>
          </w:tcPr>
          <w:p>
            <w:r>
              <w:rPr>
                <w:sz w:val="18"/>
              </w:rPr>
              <w:t>SSP585</w:t>
            </w:r>
          </w:p>
        </w:tc>
        <w:tc>
          <w:tcPr>
            <w:tcW w:type="dxa" w:w="1440"/>
          </w:tcPr>
          <w:p>
            <w:r>
              <w:rPr>
                <w:sz w:val="18"/>
              </w:rPr>
              <w:t>2035-2064</w:t>
            </w:r>
          </w:p>
        </w:tc>
        <w:tc>
          <w:tcPr>
            <w:tcW w:type="dxa" w:w="2304"/>
          </w:tcPr>
          <w:p>
            <w:r>
              <w:rPr>
                <w:sz w:val="18"/>
              </w:rPr>
              <w:t>-3.6</w:t>
            </w:r>
          </w:p>
        </w:tc>
        <w:tc>
          <w:tcPr>
            <w:tcW w:type="dxa" w:w="1872"/>
          </w:tcPr>
          <w:p>
            <w:r>
              <w:rPr>
                <w:sz w:val="18"/>
              </w:rPr>
              <w:t>-4.3</w:t>
            </w:r>
          </w:p>
        </w:tc>
        <w:tc>
          <w:tcPr>
            <w:tcW w:type="dxa" w:w="1872"/>
          </w:tcPr>
          <w:p>
            <w:r>
              <w:rPr>
                <w:sz w:val="18"/>
              </w:rPr>
              <w:t>+1.0</w:t>
            </w:r>
          </w:p>
        </w:tc>
      </w:tr>
      <w:tr>
        <w:tc>
          <w:tcPr>
            <w:tcW w:type="dxa" w:w="1296"/>
          </w:tcPr>
          <w:p>
            <w:r>
              <w:rPr>
                <w:sz w:val="18"/>
              </w:rPr>
              <w:t>SSP126</w:t>
            </w:r>
          </w:p>
        </w:tc>
        <w:tc>
          <w:tcPr>
            <w:tcW w:type="dxa" w:w="1440"/>
          </w:tcPr>
          <w:p>
            <w:r>
              <w:rPr>
                <w:sz w:val="18"/>
              </w:rPr>
              <w:t>2070-2099</w:t>
            </w:r>
          </w:p>
        </w:tc>
        <w:tc>
          <w:tcPr>
            <w:tcW w:type="dxa" w:w="2304"/>
          </w:tcPr>
          <w:p>
            <w:r>
              <w:rPr>
                <w:sz w:val="18"/>
              </w:rPr>
              <w:t>-12.3</w:t>
            </w:r>
          </w:p>
        </w:tc>
        <w:tc>
          <w:tcPr>
            <w:tcW w:type="dxa" w:w="1872"/>
          </w:tcPr>
          <w:p>
            <w:r>
              <w:rPr>
                <w:sz w:val="18"/>
              </w:rPr>
              <w:t>-13.1</w:t>
            </w:r>
          </w:p>
        </w:tc>
        <w:tc>
          <w:tcPr>
            <w:tcW w:type="dxa" w:w="1872"/>
          </w:tcPr>
          <w:p>
            <w:r>
              <w:rPr>
                <w:sz w:val="18"/>
              </w:rPr>
              <w:t>-8.9</w:t>
            </w:r>
          </w:p>
        </w:tc>
      </w:tr>
      <w:tr>
        <w:tc>
          <w:tcPr>
            <w:tcW w:type="dxa" w:w="1296"/>
          </w:tcPr>
          <w:p>
            <w:r>
              <w:rPr>
                <w:sz w:val="18"/>
              </w:rPr>
              <w:t>SSP245</w:t>
            </w:r>
          </w:p>
        </w:tc>
        <w:tc>
          <w:tcPr>
            <w:tcW w:type="dxa" w:w="1440"/>
          </w:tcPr>
          <w:p>
            <w:r>
              <w:rPr>
                <w:sz w:val="18"/>
              </w:rPr>
              <w:t>2070-2099</w:t>
            </w:r>
          </w:p>
        </w:tc>
        <w:tc>
          <w:tcPr>
            <w:tcW w:type="dxa" w:w="2304"/>
          </w:tcPr>
          <w:p>
            <w:r>
              <w:rPr>
                <w:sz w:val="18"/>
              </w:rPr>
              <w:t>-4.0</w:t>
            </w:r>
          </w:p>
        </w:tc>
        <w:tc>
          <w:tcPr>
            <w:tcW w:type="dxa" w:w="1872"/>
          </w:tcPr>
          <w:p>
            <w:r>
              <w:rPr>
                <w:sz w:val="18"/>
              </w:rPr>
              <w:t>-5.1</w:t>
            </w:r>
          </w:p>
        </w:tc>
        <w:tc>
          <w:tcPr>
            <w:tcW w:type="dxa" w:w="1872"/>
          </w:tcPr>
          <w:p>
            <w:r>
              <w:rPr>
                <w:sz w:val="18"/>
              </w:rPr>
              <w:t>-0.8</w:t>
            </w:r>
          </w:p>
        </w:tc>
      </w:tr>
      <w:tr>
        <w:tc>
          <w:tcPr>
            <w:tcW w:type="dxa" w:w="1296"/>
          </w:tcPr>
          <w:p>
            <w:r>
              <w:rPr>
                <w:sz w:val="18"/>
              </w:rPr>
              <w:t>SSP370</w:t>
            </w:r>
          </w:p>
        </w:tc>
        <w:tc>
          <w:tcPr>
            <w:tcW w:type="dxa" w:w="1440"/>
          </w:tcPr>
          <w:p>
            <w:r>
              <w:rPr>
                <w:sz w:val="18"/>
              </w:rPr>
              <w:t>2070-2099</w:t>
            </w:r>
          </w:p>
        </w:tc>
        <w:tc>
          <w:tcPr>
            <w:tcW w:type="dxa" w:w="2304"/>
          </w:tcPr>
          <w:p>
            <w:r>
              <w:rPr>
                <w:sz w:val="18"/>
              </w:rPr>
              <w:t>-20.1</w:t>
            </w:r>
          </w:p>
        </w:tc>
        <w:tc>
          <w:tcPr>
            <w:tcW w:type="dxa" w:w="1872"/>
          </w:tcPr>
          <w:p>
            <w:r>
              <w:rPr>
                <w:sz w:val="18"/>
              </w:rPr>
              <w:t>-21.9</w:t>
            </w:r>
          </w:p>
        </w:tc>
        <w:tc>
          <w:tcPr>
            <w:tcW w:type="dxa" w:w="1872"/>
          </w:tcPr>
          <w:p>
            <w:r>
              <w:rPr>
                <w:sz w:val="18"/>
              </w:rPr>
              <w:t>-17.4</w:t>
            </w:r>
          </w:p>
        </w:tc>
      </w:tr>
      <w:tr>
        <w:tc>
          <w:tcPr>
            <w:tcW w:type="dxa" w:w="1296"/>
          </w:tcPr>
          <w:p>
            <w:r>
              <w:rPr>
                <w:sz w:val="18"/>
              </w:rPr>
              <w:t>SSP585</w:t>
            </w:r>
          </w:p>
        </w:tc>
        <w:tc>
          <w:tcPr>
            <w:tcW w:type="dxa" w:w="1440"/>
          </w:tcPr>
          <w:p>
            <w:r>
              <w:rPr>
                <w:sz w:val="18"/>
              </w:rPr>
              <w:t>2070-2099</w:t>
            </w:r>
          </w:p>
        </w:tc>
        <w:tc>
          <w:tcPr>
            <w:tcW w:type="dxa" w:w="2304"/>
          </w:tcPr>
          <w:p>
            <w:r>
              <w:rPr>
                <w:sz w:val="18"/>
              </w:rPr>
              <w:t>-21.2</w:t>
            </w:r>
          </w:p>
        </w:tc>
        <w:tc>
          <w:tcPr>
            <w:tcW w:type="dxa" w:w="1872"/>
          </w:tcPr>
          <w:p>
            <w:r>
              <w:rPr>
                <w:sz w:val="18"/>
              </w:rPr>
              <w:t>-22.8</w:t>
            </w:r>
          </w:p>
        </w:tc>
        <w:tc>
          <w:tcPr>
            <w:tcW w:type="dxa" w:w="1872"/>
          </w:tcPr>
          <w:p>
            <w:r>
              <w:rPr>
                <w:sz w:val="18"/>
              </w:rPr>
              <w:t>-18.6</w:t>
            </w:r>
          </w:p>
        </w:tc>
      </w:tr>
    </w:tbl>
    <w:p/>
    <w:p>
      <w:r>
        <w:t>Median change in M' against New_M_2019, per cent — the step FullCAM sees from its historical maxAbgM to the future input. On the method every window is negative, from -2.6% to -21.2%; the per-year sensitivity gives -3.2% to -22.8%, slightly deeper throughout. Option B's column pairs a per-year numerator with a mean-FPI denominator, which is the mismatch described above, and two of its eight windows come out positive.</w:t>
      </w:r>
    </w:p>
    <w:p>
      <w:pPr>
        <w:jc w:val="center"/>
      </w:pPr>
      <w:r>
        <w:drawing>
          <wp:inline xmlns:a="http://schemas.openxmlformats.org/drawingml/2006/main" xmlns:pic="http://schemas.openxmlformats.org/drawingml/2006/picture">
            <wp:extent cx="5852160" cy="3823946"/>
            <wp:docPr id="5" name="Picture 5"/>
            <wp:cNvGraphicFramePr>
              <a:graphicFrameLocks noChangeAspect="1"/>
            </wp:cNvGraphicFramePr>
            <a:graphic>
              <a:graphicData uri="http://schemas.openxmlformats.org/drawingml/2006/picture">
                <pic:pic>
                  <pic:nvPicPr>
                    <pic:cNvPr id="0" name="fig_04a_mprime_change_method.png"/>
                    <pic:cNvPicPr/>
                  </pic:nvPicPr>
                  <pic:blipFill>
                    <a:blip r:embed="rId13"/>
                    <a:stretch>
                      <a:fillRect/>
                    </a:stretch>
                  </pic:blipFill>
                  <pic:spPr>
                    <a:xfrm>
                      <a:off x="0" y="0"/>
                      <a:ext cx="5852160" cy="3823946"/>
                    </a:xfrm>
                    <a:prstGeom prst="rect"/>
                  </pic:spPr>
                </pic:pic>
              </a:graphicData>
            </a:graphic>
          </wp:inline>
        </w:drawing>
      </w:r>
    </w:p>
    <w:p>
      <w:pPr>
        <w:jc w:val="left"/>
      </w:pPr>
      <w:r>
        <w:rPr>
          <w:i/>
          <w:color w:val="52514E"/>
          <w:sz w:val="17"/>
        </w:rPr>
        <w:t>Figure 4a. The step FullCAM sees, on the method. Blue is the observed historical FPI (the DCCEEW download), orange the modelled historical FPI from the random forest — the layer this work uses, since both the historical and the future FPI come from the forest. The orders already matched on both sides here, so the bars barely move: the expected result, and a check on the arithmetic.</w:t>
      </w:r>
    </w:p>
    <w:p>
      <w:pPr>
        <w:jc w:val="center"/>
      </w:pPr>
      <w:r>
        <w:drawing>
          <wp:inline xmlns:a="http://schemas.openxmlformats.org/drawingml/2006/main" xmlns:pic="http://schemas.openxmlformats.org/drawingml/2006/picture">
            <wp:extent cx="5852160" cy="3823946"/>
            <wp:docPr id="6" name="Picture 6"/>
            <wp:cNvGraphicFramePr>
              <a:graphicFrameLocks noChangeAspect="1"/>
            </wp:cNvGraphicFramePr>
            <a:graphic>
              <a:graphicData uri="http://schemas.openxmlformats.org/drawingml/2006/picture">
                <pic:pic>
                  <pic:nvPicPr>
                    <pic:cNvPr id="0" name="fig_04b_mprime_change_sensitivity.png"/>
                    <pic:cNvPicPr/>
                  </pic:nvPicPr>
                  <pic:blipFill>
                    <a:blip r:embed="rId14"/>
                    <a:stretch>
                      <a:fillRect/>
                    </a:stretch>
                  </pic:blipFill>
                  <pic:spPr>
                    <a:xfrm>
                      <a:off x="0" y="0"/>
                      <a:ext cx="5852160" cy="3823946"/>
                    </a:xfrm>
                    <a:prstGeom prst="rect"/>
                  </pic:spPr>
                </pic:pic>
              </a:graphicData>
            </a:graphic>
          </wp:inline>
        </w:drawing>
      </w:r>
    </w:p>
    <w:p>
      <w:pPr>
        <w:jc w:val="left"/>
      </w:pPr>
      <w:r>
        <w:rPr>
          <w:i/>
          <w:color w:val="52514E"/>
          <w:sz w:val="17"/>
        </w:rPr>
        <w:t>Figure 4b. The same on the per-year sensitivity, where the two positive bars of the observed-denominator route turn negative.</w:t>
      </w:r>
    </w:p>
    <w:p>
      <w:pPr>
        <w:jc w:val="center"/>
      </w:pPr>
      <w:r>
        <w:drawing>
          <wp:inline xmlns:a="http://schemas.openxmlformats.org/drawingml/2006/main" xmlns:pic="http://schemas.openxmlformats.org/drawingml/2006/picture">
            <wp:extent cx="5852160" cy="2780599"/>
            <wp:docPr id="7" name="Picture 7"/>
            <wp:cNvGraphicFramePr>
              <a:graphicFrameLocks noChangeAspect="1"/>
            </wp:cNvGraphicFramePr>
            <a:graphic>
              <a:graphicData uri="http://schemas.openxmlformats.org/drawingml/2006/picture">
                <pic:pic>
                  <pic:nvPicPr>
                    <pic:cNvPr id="0" name="fig_05_mprime_change_maps.png"/>
                    <pic:cNvPicPr/>
                  </pic:nvPicPr>
                  <pic:blipFill>
                    <a:blip r:embed="rId15"/>
                    <a:stretch>
                      <a:fillRect/>
                    </a:stretch>
                  </pic:blipFill>
                  <pic:spPr>
                    <a:xfrm>
                      <a:off x="0" y="0"/>
                      <a:ext cx="5852160" cy="2780599"/>
                    </a:xfrm>
                    <a:prstGeom prst="rect"/>
                  </pic:spPr>
                </pic:pic>
              </a:graphicData>
            </a:graphic>
          </wp:inline>
        </w:drawing>
      </w:r>
    </w:p>
    <w:p>
      <w:pPr>
        <w:jc w:val="left"/>
      </w:pPr>
      <w:r>
        <w:rPr>
          <w:i/>
          <w:color w:val="52514E"/>
          <w:sz w:val="17"/>
        </w:rPr>
        <w:t>Figure 5. Where the projected change sits. Declines dominate the forested east, south-west and Tasmania; the increases are in arid interior cells whose M' is small in absolute terms.</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New_M_2019</w:t>
      </w:r>
    </w:p>
    <w:p>
      <w:r>
        <w:t>New_M_2019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New_M_2019,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New_M_2019),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New_M_2019)²),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New_M_2019|,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New_M_2019</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New_M_2019</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pPr>
        <w:jc w:val="center"/>
      </w:pPr>
      <w:r>
        <w:drawing>
          <wp:inline xmlns:a="http://schemas.openxmlformats.org/drawingml/2006/main" xmlns:pic="http://schemas.openxmlformats.org/drawingml/2006/picture">
            <wp:extent cx="5852160" cy="4477028"/>
            <wp:docPr id="8" name="Picture 8"/>
            <wp:cNvGraphicFramePr>
              <a:graphicFrameLocks noChangeAspect="1"/>
            </wp:cNvGraphicFramePr>
            <a:graphic>
              <a:graphicData uri="http://schemas.openxmlformats.org/drawingml/2006/picture">
                <pic:pic>
                  <pic:nvPicPr>
                    <pic:cNvPr id="0" name="fig_06_cv_interannual.png"/>
                    <pic:cNvPicPr/>
                  </pic:nvPicPr>
                  <pic:blipFill>
                    <a:blip r:embed="rId16"/>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9" name="Picture 9"/>
            <wp:cNvGraphicFramePr>
              <a:graphicFrameLocks noChangeAspect="1"/>
            </wp:cNvGraphicFramePr>
            <a:graphic>
              <a:graphicData uri="http://schemas.openxmlformats.org/drawingml/2006/picture">
                <pic:pic>
                  <pic:nvPicPr>
                    <pic:cNvPr id="0" name="fig_07_cv_change.png"/>
                    <pic:cNvPicPr/>
                  </pic:nvPicPr>
                  <pic:blipFill>
                    <a:blip r:embed="rId17"/>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pPr>
        <w:jc w:val="center"/>
      </w:pPr>
      <w:r>
        <w:drawing>
          <wp:inline xmlns:a="http://schemas.openxmlformats.org/drawingml/2006/main" xmlns:pic="http://schemas.openxmlformats.org/drawingml/2006/picture">
            <wp:extent cx="5852160" cy="2722137"/>
            <wp:docPr id="10" name="Picture 10"/>
            <wp:cNvGraphicFramePr>
              <a:graphicFrameLocks noChangeAspect="1"/>
            </wp:cNvGraphicFramePr>
            <a:graphic>
              <a:graphicData uri="http://schemas.openxmlformats.org/drawingml/2006/picture">
                <pic:pic>
                  <pic:nvPicPr>
                    <pic:cNvPr id="0" name="fig_08_cv_across_scenarios.png"/>
                    <pic:cNvPicPr/>
                  </pic:nvPicPr>
                  <pic:blipFill>
                    <a:blip r:embed="rId18"/>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0.997</w:t>
            </w:r>
          </w:p>
        </w:tc>
        <w:tc>
          <w:tcPr>
            <w:tcW w:type="dxa" w:w="1008"/>
          </w:tcPr>
          <w:p>
            <w:r>
              <w:rPr>
                <w:sz w:val="18"/>
              </w:rPr>
              <w:t>1.012</w:t>
            </w:r>
          </w:p>
        </w:tc>
        <w:tc>
          <w:tcPr>
            <w:tcW w:type="dxa" w:w="1008"/>
          </w:tcPr>
          <w:p>
            <w:r>
              <w:rPr>
                <w:sz w:val="18"/>
              </w:rPr>
              <w:t>-1.0</w:t>
            </w:r>
          </w:p>
        </w:tc>
        <w:tc>
          <w:tcPr>
            <w:tcW w:type="dxa" w:w="1008"/>
          </w:tcPr>
          <w:p>
            <w:r>
              <w:rPr>
                <w:sz w:val="18"/>
              </w:rPr>
              <w:t>5.9</w:t>
            </w:r>
          </w:p>
        </w:tc>
        <w:tc>
          <w:tcPr>
            <w:tcW w:type="dxa" w:w="1440"/>
          </w:tcPr>
          <w:p>
            <w:r>
              <w:rPr>
                <w:sz w:val="18"/>
              </w:rPr>
              <w:t>64</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-2.0</w:t>
            </w:r>
          </w:p>
        </w:tc>
        <w:tc>
          <w:tcPr>
            <w:tcW w:type="dxa" w:w="1008"/>
          </w:tcPr>
          <w:p>
            <w:r>
              <w:rPr>
                <w:sz w:val="18"/>
              </w:rPr>
              <w:t>8.3</w:t>
            </w:r>
          </w:p>
        </w:tc>
        <w:tc>
          <w:tcPr>
            <w:tcW w:type="dxa" w:w="1440"/>
          </w:tcPr>
          <w:p>
            <w:r>
              <w:rPr>
                <w:sz w:val="18"/>
              </w:rPr>
              <w:t>79</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1.031</w:t>
            </w:r>
          </w:p>
        </w:tc>
        <w:tc>
          <w:tcPr>
            <w:tcW w:type="dxa" w:w="1008"/>
          </w:tcPr>
          <w:p>
            <w:r>
              <w:rPr>
                <w:sz w:val="18"/>
              </w:rPr>
              <w:t>-0.9</w:t>
            </w:r>
          </w:p>
        </w:tc>
        <w:tc>
          <w:tcPr>
            <w:tcW w:type="dxa" w:w="1008"/>
          </w:tcPr>
          <w:p>
            <w:r>
              <w:rPr>
                <w:sz w:val="18"/>
              </w:rPr>
              <w:t>7.6</w:t>
            </w:r>
          </w:p>
        </w:tc>
        <w:tc>
          <w:tcPr>
            <w:tcW w:type="dxa" w:w="1440"/>
          </w:tcPr>
          <w:p>
            <w:r>
              <w:rPr>
                <w:sz w:val="18"/>
              </w:rPr>
              <w:t>69</w:t>
            </w:r>
          </w:p>
        </w:tc>
      </w:tr>
      <w:tr>
        <w:tc>
          <w:tcPr>
            <w:tcW w:type="dxa" w:w="1152"/>
          </w:tcPr>
          <w:p>
            <w:r>
              <w:rPr>
                <w:sz w:val="18"/>
              </w:rPr>
              <w:t>SSP585</w:t>
            </w:r>
          </w:p>
        </w:tc>
        <w:tc>
          <w:tcPr>
            <w:tcW w:type="dxa" w:w="1440"/>
          </w:tcPr>
          <w:p>
            <w:r>
              <w:rPr>
                <w:sz w:val="18"/>
              </w:rPr>
              <w:t>2035-2064</w:t>
            </w:r>
          </w:p>
        </w:tc>
        <w:tc>
          <w:tcPr>
            <w:tcW w:type="dxa" w:w="1008"/>
          </w:tcPr>
          <w:p>
            <w:r>
              <w:rPr>
                <w:sz w:val="18"/>
              </w:rPr>
              <w:t>0.995</w:t>
            </w:r>
          </w:p>
        </w:tc>
        <w:tc>
          <w:tcPr>
            <w:tcW w:type="dxa" w:w="1008"/>
          </w:tcPr>
          <w:p>
            <w:r>
              <w:rPr>
                <w:sz w:val="18"/>
              </w:rPr>
              <w:t>0.998</w:t>
            </w:r>
          </w:p>
        </w:tc>
        <w:tc>
          <w:tcPr>
            <w:tcW w:type="dxa" w:w="1008"/>
          </w:tcPr>
          <w:p>
            <w:r>
              <w:rPr>
                <w:sz w:val="18"/>
              </w:rPr>
              <w:t>-1.2</w:t>
            </w:r>
          </w:p>
        </w:tc>
        <w:tc>
          <w:tcPr>
            <w:tcW w:type="dxa" w:w="1008"/>
          </w:tcPr>
          <w:p>
            <w:r>
              <w:rPr>
                <w:sz w:val="18"/>
              </w:rPr>
              <w:t>7.7</w:t>
            </w:r>
          </w:p>
        </w:tc>
        <w:tc>
          <w:tcPr>
            <w:tcW w:type="dxa" w:w="1440"/>
          </w:tcPr>
          <w:p>
            <w:r>
              <w:rPr>
                <w:sz w:val="18"/>
              </w:rPr>
              <w:t>64</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1.016</w:t>
            </w:r>
          </w:p>
        </w:tc>
        <w:tc>
          <w:tcPr>
            <w:tcW w:type="dxa" w:w="1008"/>
          </w:tcPr>
          <w:p>
            <w:r>
              <w:rPr>
                <w:sz w:val="18"/>
              </w:rPr>
              <w:t>-3.4</w:t>
            </w:r>
          </w:p>
        </w:tc>
        <w:tc>
          <w:tcPr>
            <w:tcW w:type="dxa" w:w="1008"/>
          </w:tcPr>
          <w:p>
            <w:r>
              <w:rPr>
                <w:sz w:val="18"/>
              </w:rPr>
              <w:t>8.2</w:t>
            </w:r>
          </w:p>
        </w:tc>
        <w:tc>
          <w:tcPr>
            <w:tcW w:type="dxa" w:w="1440"/>
          </w:tcPr>
          <w:p>
            <w:r>
              <w:rPr>
                <w:sz w:val="18"/>
              </w:rPr>
              <w:t>88</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-0.0</w:t>
            </w:r>
          </w:p>
        </w:tc>
        <w:tc>
          <w:tcPr>
            <w:tcW w:type="dxa" w:w="1008"/>
          </w:tcPr>
          <w:p>
            <w:r>
              <w:rPr>
                <w:sz w:val="18"/>
              </w:rPr>
              <w:t>10.3</w:t>
            </w:r>
          </w:p>
        </w:tc>
        <w:tc>
          <w:tcPr>
            <w:tcW w:type="dxa" w:w="1440"/>
          </w:tcPr>
          <w:p>
            <w:r>
              <w:rPr>
                <w:sz w:val="18"/>
              </w:rPr>
              <w:t>65</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-4.3</w:t>
            </w:r>
          </w:p>
        </w:tc>
        <w:tc>
          <w:tcPr>
            <w:tcW w:type="dxa" w:w="1008"/>
          </w:tcPr>
          <w:p>
            <w:r>
              <w:rPr>
                <w:sz w:val="18"/>
              </w:rPr>
              <w:t>15.0</w:t>
            </w:r>
          </w:p>
        </w:tc>
        <w:tc>
          <w:tcPr>
            <w:tcW w:type="dxa" w:w="1440"/>
          </w:tcPr>
          <w:p>
            <w:r>
              <w:rPr>
                <w:sz w:val="18"/>
              </w:rPr>
              <w:t>87</w:t>
            </w:r>
          </w:p>
        </w:tc>
      </w:tr>
      <w:tr>
        <w:tc>
          <w:tcPr>
            <w:tcW w:type="dxa" w:w="1152"/>
          </w:tcPr>
          <w:p>
            <w:r>
              <w:rPr>
                <w:sz w:val="18"/>
              </w:rPr>
              <w:t>SSP585</w:t>
            </w:r>
          </w:p>
        </w:tc>
        <w:tc>
          <w:tcPr>
            <w:tcW w:type="dxa" w:w="1440"/>
          </w:tcPr>
          <w:p>
            <w:r>
              <w:rPr>
                <w:sz w:val="18"/>
              </w:rPr>
              <w:t>2070-2099</w:t>
            </w:r>
          </w:p>
        </w:tc>
        <w:tc>
          <w:tcPr>
            <w:tcW w:type="dxa" w:w="1008"/>
          </w:tcPr>
          <w:p>
            <w:r>
              <w:rPr>
                <w:sz w:val="18"/>
              </w:rPr>
              <w:t>0.983</w:t>
            </w:r>
          </w:p>
        </w:tc>
        <w:tc>
          <w:tcPr>
            <w:tcW w:type="dxa" w:w="1008"/>
          </w:tcPr>
          <w:p>
            <w:r>
              <w:rPr>
                <w:sz w:val="18"/>
              </w:rPr>
              <w:t>1.042</w:t>
            </w:r>
          </w:p>
        </w:tc>
        <w:tc>
          <w:tcPr>
            <w:tcW w:type="dxa" w:w="1008"/>
          </w:tcPr>
          <w:p>
            <w:r>
              <w:rPr>
                <w:sz w:val="18"/>
              </w:rPr>
              <w:t>-5.0</w:t>
            </w:r>
          </w:p>
        </w:tc>
        <w:tc>
          <w:tcPr>
            <w:tcW w:type="dxa" w:w="1008"/>
          </w:tcPr>
          <w:p>
            <w:r>
              <w:rPr>
                <w:sz w:val="18"/>
              </w:rPr>
              <w:t>16.2</w:t>
            </w:r>
          </w:p>
        </w:tc>
        <w:tc>
          <w:tcPr>
            <w:tcW w:type="dxa" w:w="1440"/>
          </w:tcPr>
          <w:p>
            <w:r>
              <w:rPr>
                <w:sz w:val="18"/>
              </w:rPr>
              <w:t>88</w:t>
            </w:r>
          </w:p>
        </w:tc>
      </w:tr>
    </w:tbl>
    <w:p/>
    <w:p>
      <w:r>
        <w:t>r stays between 0.983 and 0.997: the spatial pattern of M' is almost entirely inherited from New_M_2019,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64% to 88%, so the late-century high-forcing decline is both deeper and more widespread.</w:t>
      </w:r>
    </w:p>
    <w:p>
      <w:pPr>
        <w:jc w:val="center"/>
      </w:pPr>
      <w:r>
        <w:drawing>
          <wp:inline xmlns:a="http://schemas.openxmlformats.org/drawingml/2006/main" xmlns:pic="http://schemas.openxmlformats.org/drawingml/2006/picture">
            <wp:extent cx="5852160" cy="2900330"/>
            <wp:docPr id="11" name="Picture 11"/>
            <wp:cNvGraphicFramePr>
              <a:graphicFrameLocks noChangeAspect="1"/>
            </wp:cNvGraphicFramePr>
            <a:graphic>
              <a:graphicData uri="http://schemas.openxmlformats.org/drawingml/2006/picture">
                <pic:pic>
                  <pic:nvPicPr>
                    <pic:cNvPr id="0" name="fig_09_scatter_vs_New_M_2019.png"/>
                    <pic:cNvPicPr/>
                  </pic:nvPicPr>
                  <pic:blipFill>
                    <a:blip r:embed="rId19"/>
                    <a:stretch>
                      <a:fillRect/>
                    </a:stretch>
                  </pic:blipFill>
                  <pic:spPr>
                    <a:xfrm>
                      <a:off x="0" y="0"/>
                      <a:ext cx="5852160" cy="2900330"/>
                    </a:xfrm>
                    <a:prstGeom prst="rect"/>
                  </pic:spPr>
                </pic:pic>
              </a:graphicData>
            </a:graphic>
          </wp:inline>
        </w:drawing>
      </w:r>
    </w:p>
    <w:p>
      <w:pPr>
        <w:jc w:val="left"/>
      </w:pPr>
      <w:r>
        <w:rPr>
          <w:i/>
          <w:color w:val="52514E"/>
          <w:sz w:val="17"/>
        </w:rPr>
        <w:t>Figure 9. M' against New_M_2019, one hexbin per scenario-window.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30,446 and 34,209 Mt DM, i.e. -0.4% (SSP245 2070-2099) to -11.4%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pPr>
        <w:jc w:val="center"/>
      </w:pPr>
      <w:r>
        <w:drawing>
          <wp:inline xmlns:a="http://schemas.openxmlformats.org/drawingml/2006/main" xmlns:pic="http://schemas.openxmlformats.org/drawingml/2006/picture">
            <wp:extent cx="5852160" cy="3990717"/>
            <wp:docPr id="12" name="Picture 12"/>
            <wp:cNvGraphicFramePr>
              <a:graphicFrameLocks noChangeAspect="1"/>
            </wp:cNvGraphicFramePr>
            <a:graphic>
              <a:graphicData uri="http://schemas.openxmlformats.org/drawingml/2006/picture">
                <pic:pic>
                  <pic:nvPicPr>
                    <pic:cNvPr id="0" name="fig_10a_national_total.png"/>
                    <pic:cNvPicPr/>
                  </pic:nvPicPr>
                  <pic:blipFill>
                    <a:blip r:embed="rId20"/>
                    <a:stretch>
                      <a:fillRect/>
                    </a:stretch>
                  </pic:blipFill>
                  <pic:spPr>
                    <a:xfrm>
                      <a:off x="0" y="0"/>
                      <a:ext cx="5852160" cy="3990717"/>
                    </a:xfrm>
                    <a:prstGeom prst="rect"/>
                  </pic:spPr>
                </pic:pic>
              </a:graphicData>
            </a:graphic>
          </wp:inline>
        </w:drawing>
      </w:r>
    </w:p>
    <w:p>
      <w:pPr>
        <w:jc w:val="left"/>
      </w:pPr>
      <w:r>
        <w:rPr>
          <w:i/>
          <w:color w:val="52514E"/>
          <w:sz w:val="17"/>
        </w:rPr>
        <w:t>Figure 10a. National total above-ground biomass by scenario-window, against the New_M_2019 reference line.</w:t>
      </w:r>
    </w:p>
    <w:p>
      <w:pPr>
        <w:jc w:val="center"/>
      </w:pPr>
      <w:r>
        <w:drawing>
          <wp:inline xmlns:a="http://schemas.openxmlformats.org/drawingml/2006/main" xmlns:pic="http://schemas.openxmlformats.org/drawingml/2006/picture">
            <wp:extent cx="5852160" cy="4370786"/>
            <wp:docPr id="13" name="Picture 13"/>
            <wp:cNvGraphicFramePr>
              <a:graphicFrameLocks noChangeAspect="1"/>
            </wp:cNvGraphicFramePr>
            <a:graphic>
              <a:graphicData uri="http://schemas.openxmlformats.org/drawingml/2006/picture">
                <pic:pic>
                  <pic:nvPicPr>
                    <pic:cNvPr id="0" name="fig_10b_national_total_change.png"/>
                    <pic:cNvPicPr/>
                  </pic:nvPicPr>
                  <pic:blipFill>
                    <a:blip r:embed="rId21"/>
                    <a:stretch>
                      <a:fillRect/>
                    </a:stretch>
                  </pic:blipFill>
                  <pic:spPr>
                    <a:xfrm>
                      <a:off x="0" y="0"/>
                      <a:ext cx="5852160" cy="4370786"/>
                    </a:xfrm>
                    <a:prstGeom prst="rect"/>
                  </pic:spPr>
                </pic:pic>
              </a:graphicData>
            </a:graphic>
          </wp:inline>
        </w:drawing>
      </w:r>
    </w:p>
    <w:p>
      <w:pPr>
        <w:jc w:val="left"/>
      </w:pPr>
      <w:r>
        <w:rPr>
          <w:i/>
          <w:color w:val="52514E"/>
          <w:sz w:val="17"/>
        </w:rPr>
        <w:t>Figure 10b. The same as a percentage change. Note the non-monotonic ordering: SSP245 2070-2099 is the mildest of the eight, which the Random_forest_CSIRO report traces to ACCESS-CM2 r4i1p1f1 rainfall and humidity rather than to the forcing level.</w:t>
      </w:r>
    </w:p>
    <w:p>
      <w:pPr>
        <w:pStyle w:val="Heading2"/>
      </w:pPr>
      <w:r>
        <w:t>A third CV: future M' against the reference map</w:t>
      </w:r>
    </w:p>
    <w:p>
      <w:r>
        <w:t>The interannual and across-scenario CVs above have no counterpart in New_M_2019, which is a single static layer. The spatial CV does: sd over cells divided by the mean over cells, one number per map. It rises from 169.8% for New_M_2019 to 174.7-201.8% across the eight scenario-windows, so the projection makes the map more uneven rather than less — the losses are concentrated, not spread evenly, which is the same thing the decile figure says from the other direction.</w:t>
      </w:r>
    </w:p>
    <w:p>
      <w:pPr>
        <w:jc w:val="center"/>
      </w:pPr>
      <w:r>
        <w:drawing>
          <wp:inline xmlns:a="http://schemas.openxmlformats.org/drawingml/2006/main" xmlns:pic="http://schemas.openxmlformats.org/drawingml/2006/picture">
            <wp:extent cx="5852160" cy="2757268"/>
            <wp:docPr id="14" name="Picture 14"/>
            <wp:cNvGraphicFramePr>
              <a:graphicFrameLocks noChangeAspect="1"/>
            </wp:cNvGraphicFramePr>
            <a:graphic>
              <a:graphicData uri="http://schemas.openxmlformats.org/drawingml/2006/picture">
                <pic:pic>
                  <pic:nvPicPr>
                    <pic:cNvPr id="0" name="fig_14a_spatial_cv_vs_reference.png"/>
                    <pic:cNvPicPr/>
                  </pic:nvPicPr>
                  <pic:blipFill>
                    <a:blip r:embed="rId22"/>
                    <a:stretch>
                      <a:fillRect/>
                    </a:stretch>
                  </pic:blipFill>
                  <pic:spPr>
                    <a:xfrm>
                      <a:off x="0" y="0"/>
                      <a:ext cx="5852160" cy="2757268"/>
                    </a:xfrm>
                    <a:prstGeom prst="rect"/>
                  </pic:spPr>
                </pic:pic>
              </a:graphicData>
            </a:graphic>
          </wp:inline>
        </w:drawing>
      </w:r>
    </w:p>
    <w:p>
      <w:pPr>
        <w:jc w:val="left"/>
      </w:pPr>
      <w:r>
        <w:rPr>
          <w:i/>
          <w:color w:val="52514E"/>
          <w:sz w:val="17"/>
        </w:rPr>
        <w:t>Figure 14a. Spatial CV of each future layer against the New_M_2019 reference.</w:t>
      </w:r>
    </w:p>
    <w:p>
      <w:pPr>
        <w:jc w:val="center"/>
      </w:pPr>
      <w:r>
        <w:drawing>
          <wp:inline xmlns:a="http://schemas.openxmlformats.org/drawingml/2006/main" xmlns:pic="http://schemas.openxmlformats.org/drawingml/2006/picture">
            <wp:extent cx="5852160" cy="3413760"/>
            <wp:docPr id="15" name="Picture 15"/>
            <wp:cNvGraphicFramePr>
              <a:graphicFrameLocks noChangeAspect="1"/>
            </wp:cNvGraphicFramePr>
            <a:graphic>
              <a:graphicData uri="http://schemas.openxmlformats.org/drawingml/2006/picture">
                <pic:pic>
                  <pic:nvPicPr>
                    <pic:cNvPr id="0" name="fig_14b_spatial_cv_change.png"/>
                    <pic:cNvPicPr/>
                  </pic:nvPicPr>
                  <pic:blipFill>
                    <a:blip r:embed="rId23"/>
                    <a:stretch>
                      <a:fillRect/>
                    </a:stretch>
                  </pic:blipFill>
                  <pic:spPr>
                    <a:xfrm>
                      <a:off x="0" y="0"/>
                      <a:ext cx="5852160" cy="3413760"/>
                    </a:xfrm>
                    <a:prstGeom prst="rect"/>
                  </pic:spPr>
                </pic:pic>
              </a:graphicData>
            </a:graphic>
          </wp:inline>
        </w:drawing>
      </w:r>
    </w:p>
    <w:p>
      <w:pPr>
        <w:jc w:val="left"/>
      </w:pPr>
      <w:r>
        <w:rPr>
          <w:i/>
          <w:color w:val="52514E"/>
          <w:sz w:val="17"/>
        </w:rPr>
        <w:t>Figure 14b. The same as a change against the reference.</w:t>
      </w:r>
    </w:p>
    <w:p>
      <w:pPr>
        <w:pStyle w:val="Heading2"/>
      </w:pPr>
      <w:r>
        <w:t>Where in the distribution the change falls</w:t>
      </w:r>
    </w:p>
    <w:p>
      <w:r>
        <w:t>Cells were binned into deciles of New_M_2019 and the median change taken within each. The relative loss is deepest in the low and middle deciles - under SSP585 2070-2099 it reaches -32% in decile 4 - and shallowest in the top decile, at -6%. In absolute tonnes the ordering reverses, because the top decile holds most of the biomass. Both statements are true and they answer different questions; whichever is quoted, say which one it is.</w:t>
      </w:r>
    </w:p>
    <w:p>
      <w:pPr>
        <w:jc w:val="center"/>
      </w:pPr>
      <w:r>
        <w:drawing>
          <wp:inline xmlns:a="http://schemas.openxmlformats.org/drawingml/2006/main" xmlns:pic="http://schemas.openxmlformats.org/drawingml/2006/picture">
            <wp:extent cx="5852160" cy="2194242"/>
            <wp:docPr id="16" name="Picture 16"/>
            <wp:cNvGraphicFramePr>
              <a:graphicFrameLocks noChangeAspect="1"/>
            </wp:cNvGraphicFramePr>
            <a:graphic>
              <a:graphicData uri="http://schemas.openxmlformats.org/drawingml/2006/picture">
                <pic:pic>
                  <pic:nvPicPr>
                    <pic:cNvPr id="0" name="fig_11_change_by_decile.png"/>
                    <pic:cNvPicPr/>
                  </pic:nvPicPr>
                  <pic:blipFill>
                    <a:blip r:embed="rId24"/>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New_M_2019,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New_M_2019 reference line. The baseline bar sits exactly on the line because averaging the modelled historical years returns New_M_2019 by construction; every other bar is a projection, and all eight fall below it, from 15.4 to 20.1 t DM ha⁻¹ against 20.43.</w:t>
      </w:r>
    </w:p>
    <w:p>
      <w:r>
        <w:t>The percentages printed inside the bars are the shift in the median — median(M') against median(New_M_2019)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7" name="Picture 17"/>
            <wp:cNvGraphicFramePr>
              <a:graphicFrameLocks noChangeAspect="1"/>
            </wp:cNvGraphicFramePr>
            <a:graphic>
              <a:graphicData uri="http://schemas.openxmlformats.org/drawingml/2006/picture">
                <pic:pic>
                  <pic:nvPicPr>
                    <pic:cNvPr id="0" name="fig_13_rf_mprime_bars.png"/>
                    <pic:cNvPicPr/>
                  </pic:nvPicPr>
                  <pic:blipFill>
                    <a:blip r:embed="rId25"/>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New_M_2019.</w:t>
      </w:r>
    </w:p>
    <w:p>
      <w:pPr>
        <w:pStyle w:val="Heading2"/>
      </w:pPr>
      <w:r>
        <w:t>The two footings on one axis</w:t>
      </w:r>
    </w:p>
    <w:p>
      <w:r>
        <w:t>Figure 12 puts the footing question and the climate signal in a single panel, because they are routinely confused. The orange bars are Eq. (1) M used as written; the navy bars are M' on the matched footing. The hatched pair on the left is 1985-2014, and the dashed line is the median of New_M_2019, 20.43 t DM ha⁻¹.</w:t>
      </w:r>
    </w:p>
    <w:p>
      <w:r>
        <w:t>Read it vertically and the orange-to-navy gap is the footing: 31.87 against 20.43 t DM ha⁻¹ in the baseline pair, a factor of 1.56. That gap is arithmetic, not climate — Eq. (1) is the relationship reported in the paper, while Original_M_2004 is the layer the Richards &amp; Brack (2004) procedure produced and the one FullCAM ships. Read it horizontally and the navy bars' distance from the dashed line is the projected change, which is the only part of the figure that carries a climate signal. The navy baseline bar sits exactly on the line, as it must.</w:t>
      </w:r>
    </w:p>
    <w:p>
      <w:pPr>
        <w:jc w:val="center"/>
      </w:pPr>
      <w:r>
        <w:drawing>
          <wp:inline xmlns:a="http://schemas.openxmlformats.org/drawingml/2006/main" xmlns:pic="http://schemas.openxmlformats.org/drawingml/2006/picture">
            <wp:extent cx="5852160" cy="2482735"/>
            <wp:docPr id="18" name="Picture 18"/>
            <wp:cNvGraphicFramePr>
              <a:graphicFrameLocks noChangeAspect="1"/>
            </wp:cNvGraphicFramePr>
            <a:graphic>
              <a:graphicData uri="http://schemas.openxmlformats.org/drawingml/2006/picture">
                <pic:pic>
                  <pic:nvPicPr>
                    <pic:cNvPr id="0" name="fig_12_paired_bars.png"/>
                    <pic:cNvPicPr/>
                  </pic:nvPicPr>
                  <pic:blipFill>
                    <a:blip r:embed="rId26"/>
                    <a:stretch>
                      <a:fillRect/>
                    </a:stretch>
                  </pic:blipFill>
                  <pic:spPr>
                    <a:xfrm>
                      <a:off x="0" y="0"/>
                      <a:ext cx="5852160" cy="2482735"/>
                    </a:xfrm>
                    <a:prstGeom prst="rect"/>
                  </pic:spPr>
                </pic:pic>
              </a:graphicData>
            </a:graphic>
          </wp:inline>
        </w:drawing>
      </w:r>
    </w:p>
    <w:p>
      <w:pPr>
        <w:jc w:val="left"/>
      </w:pPr>
      <w:r>
        <w:rPr>
          <w:i/>
          <w:color w:val="52514E"/>
          <w:sz w:val="17"/>
        </w:rPr>
        <w:t>Figure 12. Median M across land cells: Eq. (1) M and matched-footing M' for each scenario-window, against the 1985-2014 baseline (hatched) and the New_M_2019 reference (dashed). Quoting an orange bar where a navy one belongs inflates M by roughly 56%.</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