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TALVRIN</w:t>
      </w:r>
    </w:p>
    <w:p w:rsidR="00000000" w:rsidDel="00000000" w:rsidP="00000000" w:rsidRDefault="00000000" w:rsidRPr="00000000" w14:paraId="00000002">
      <w:pPr>
        <w:pStyle w:val="Title"/>
        <w:rPr/>
      </w:pPr>
      <w:r w:rsidDel="00000000" w:rsidR="00000000" w:rsidRPr="00000000">
        <w:rPr>
          <w:rtl w:val="0"/>
        </w:rPr>
        <w:t xml:space="preserve">EMAIL COMMUNICATIONS ESTATE</w:t>
      </w:r>
    </w:p>
    <w:p w:rsidR="00000000" w:rsidDel="00000000" w:rsidP="00000000" w:rsidRDefault="00000000" w:rsidRPr="00000000" w14:paraId="00000003">
      <w:pPr>
        <w:pStyle w:val="Subtitle"/>
        <w:rPr/>
      </w:pPr>
      <w:r w:rsidDel="00000000" w:rsidR="00000000" w:rsidRPr="00000000">
        <w:rPr>
          <w:rtl w:val="0"/>
        </w:rPr>
        <w:t xml:space="preserve">TAL-COMM-EMAIL-001  |  Version 1.0  |  22 October 2026  |  Internal Product / Engineering</w:t>
      </w:r>
    </w:p>
    <w:p w:rsidR="00000000" w:rsidDel="00000000" w:rsidP="00000000" w:rsidRDefault="00000000" w:rsidRPr="00000000" w14:paraId="00000004">
      <w:pPr>
        <w:widowControl w:val="1"/>
        <w:rPr/>
      </w:pPr>
      <w:r w:rsidDel="00000000" w:rsidR="00000000" w:rsidRPr="00000000">
        <w:rPr>
          <w:rtl w:val="0"/>
        </w:rPr>
        <w:t xml:space="preserve">Status: Proposed implementation baseline. Template catalogue and copy are specified for engineering build; launch requires named Product, Security, Legal/Compliance, Data Rights and QA sign-off.</w:t>
      </w:r>
    </w:p>
    <w:p w:rsidR="00000000" w:rsidDel="00000000" w:rsidP="00000000" w:rsidRDefault="00000000" w:rsidRPr="00000000" w14:paraId="00000005">
      <w:pPr>
        <w:pStyle w:val="Heading1"/>
        <w:keepNext w:val="1"/>
        <w:rPr/>
      </w:pPr>
      <w:r w:rsidDel="00000000" w:rsidR="00000000" w:rsidRPr="00000000">
        <w:rPr>
          <w:rtl w:val="0"/>
        </w:rPr>
        <w:t xml:space="preserve">Executive decision</w:t>
      </w:r>
    </w:p>
    <w:p w:rsidR="00000000" w:rsidDel="00000000" w:rsidP="00000000" w:rsidRDefault="00000000" w:rsidRPr="00000000" w14:paraId="00000006">
      <w:pPr>
        <w:widowControl w:val="1"/>
        <w:rPr/>
      </w:pPr>
      <w:r w:rsidDel="00000000" w:rsidR="00000000" w:rsidRPr="00000000">
        <w:rPr>
          <w:rtl w:val="0"/>
        </w:rPr>
        <w:t xml:space="preserve">Implement 199 distinct event-linked email templates under a single governed notification architecture. 143 are mapped to the launch baseline; 38 require feature or commercial gates; 11 belong exclusively to the Historical Evidence Engine target architecture; 7 are marketing / sales communications subject to applicable permissions.</w:t>
      </w:r>
    </w:p>
    <w:p w:rsidR="00000000" w:rsidDel="00000000" w:rsidP="00000000" w:rsidRDefault="00000000" w:rsidRPr="00000000" w14:paraId="00000007">
      <w:pPr>
        <w:widowControl w:val="1"/>
        <w:rPr/>
      </w:pPr>
      <w:r w:rsidDel="00000000" w:rsidR="00000000" w:rsidRPr="00000000">
        <w:rPr>
          <w:rtl w:val="0"/>
        </w:rPr>
        <w:t xml:space="preserve">The spreadsheet contains every production subject, preheader and complete text body. The JSON manifest is the engineering source for event IDs, required variables, HTML variants, delivery category, suppression, authorization and phase gates.</w:t>
      </w:r>
    </w:p>
    <w:p w:rsidR="00000000" w:rsidDel="00000000" w:rsidP="00000000" w:rsidRDefault="00000000" w:rsidRPr="00000000" w14:paraId="00000008">
      <w:pPr>
        <w:pStyle w:val="Heading1"/>
        <w:keepNext w:val="1"/>
        <w:rPr/>
      </w:pPr>
      <w:r w:rsidDel="00000000" w:rsidR="00000000" w:rsidRPr="00000000">
        <w:rPr>
          <w:rtl w:val="0"/>
        </w:rPr>
        <w:t xml:space="preserve">Architecture doctrine and exclusions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One notification orchestrator, not separate mail logic embedded in every backend microservice.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Every financial claim stays linked to authoritative source evidence, accepted-fact validation, methodology version and display/redistribution rights.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No individualized trading recommendation, buy/sell claim, issuer grade, or invented instrument/market metric.</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Historical evidence emails are NOT enabled at Launch. H-1 to H-4 need separate phase approvals; historical completeness must never be claimed.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Gilt-derived communications are gated by written commercial data licence, pinned official methodology, locked calculations and golden-test approval.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Mandatory security/legal notices are separate from preference-governed research digests and consent-governed promotional mail.</w:t>
      </w:r>
    </w:p>
    <w:p w:rsidR="00000000" w:rsidDel="00000000" w:rsidP="00000000" w:rsidRDefault="00000000" w:rsidRPr="00000000" w14:paraId="0000000F">
      <w:pPr>
        <w:pStyle w:val="Heading1"/>
        <w:keepNext w:val="1"/>
        <w:rPr/>
      </w:pPr>
      <w:r w:rsidDel="00000000" w:rsidR="00000000" w:rsidRPr="00000000">
        <w:rPr>
          <w:rtl w:val="0"/>
        </w:rPr>
        <w:t xml:space="preserve">Domain coverage by system owner</w:t>
      </w:r>
    </w:p>
    <w:tbl>
      <w:tblPr>
        <w:tblStyle w:val="Table1"/>
        <w:tblW w:w="10080.0" w:type="dxa"/>
        <w:jc w:val="center"/>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1"/>
        </w:trPr>
        <w:tc>
          <w:tcPr/>
          <w:p w:rsidR="00000000" w:rsidDel="00000000" w:rsidP="00000000" w:rsidRDefault="00000000" w:rsidRPr="00000000" w14:paraId="00000010">
            <w:pPr>
              <w:spacing w:after="0" w:before="0" w:lineRule="auto"/>
              <w:rPr/>
            </w:pPr>
            <w:r w:rsidDel="00000000" w:rsidR="00000000" w:rsidRPr="00000000">
              <w:rPr>
                <w:b w:val="1"/>
                <w:bCs w:val="1"/>
                <w:sz w:val="16"/>
                <w:szCs w:val="16"/>
                <w:rtl w:val="0"/>
              </w:rPr>
              <w:t xml:space="preserve">Research &amp; customer workflows</w:t>
            </w:r>
            <w:r w:rsidDel="00000000" w:rsidR="00000000" w:rsidRPr="00000000">
              <w:rPr>
                <w:rtl w:val="0"/>
              </w:rPr>
            </w:r>
          </w:p>
        </w:tc>
        <w:tc>
          <w:tcPr/>
          <w:p w:rsidR="00000000" w:rsidDel="00000000" w:rsidP="00000000" w:rsidRDefault="00000000" w:rsidRPr="00000000" w14:paraId="00000011">
            <w:pPr>
              <w:spacing w:after="0" w:before="0" w:lineRule="auto"/>
              <w:rPr/>
            </w:pPr>
            <w:r w:rsidDel="00000000" w:rsidR="00000000" w:rsidRPr="00000000">
              <w:rPr>
                <w:b w:val="1"/>
                <w:bCs w:val="1"/>
                <w:sz w:val="16"/>
                <w:szCs w:val="16"/>
                <w:rtl w:val="0"/>
              </w:rPr>
              <w:t xml:space="preserve">Administration &amp; platform operations</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before="0" w:lineRule="auto"/>
              <w:rPr/>
            </w:pPr>
            <w:r w:rsidDel="00000000" w:rsidR="00000000" w:rsidRPr="00000000">
              <w:rPr>
                <w:sz w:val="15"/>
                <w:szCs w:val="15"/>
                <w:rtl w:val="0"/>
              </w:rPr>
              <w:t xml:space="preserve">ID  •  Identity &amp; Authentication  •  19</w:t>
            </w:r>
            <w:r w:rsidDel="00000000" w:rsidR="00000000" w:rsidRPr="00000000">
              <w:rPr>
                <w:rtl w:val="0"/>
              </w:rPr>
            </w:r>
          </w:p>
        </w:tc>
        <w:tc>
          <w:tcPr/>
          <w:p w:rsidR="00000000" w:rsidDel="00000000" w:rsidP="00000000" w:rsidRDefault="00000000" w:rsidRPr="00000000" w14:paraId="00000013">
            <w:pPr>
              <w:spacing w:after="0" w:before="0" w:lineRule="auto"/>
              <w:rPr/>
            </w:pPr>
            <w:r w:rsidDel="00000000" w:rsidR="00000000" w:rsidRPr="00000000">
              <w:rPr>
                <w:sz w:val="15"/>
                <w:szCs w:val="15"/>
                <w:rtl w:val="0"/>
              </w:rPr>
              <w:t xml:space="preserve">EN  •  Enterprise Admin  •  13</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before="0" w:lineRule="auto"/>
              <w:rPr/>
            </w:pPr>
            <w:r w:rsidDel="00000000" w:rsidR="00000000" w:rsidRPr="00000000">
              <w:rPr>
                <w:sz w:val="15"/>
                <w:szCs w:val="15"/>
                <w:rtl w:val="0"/>
              </w:rPr>
              <w:t xml:space="preserve">AC  •  Account &amp; Privacy  •  10</w:t>
            </w:r>
            <w:r w:rsidDel="00000000" w:rsidR="00000000" w:rsidRPr="00000000">
              <w:rPr>
                <w:rtl w:val="0"/>
              </w:rPr>
            </w:r>
          </w:p>
        </w:tc>
        <w:tc>
          <w:tcPr/>
          <w:p w:rsidR="00000000" w:rsidDel="00000000" w:rsidP="00000000" w:rsidRDefault="00000000" w:rsidRPr="00000000" w14:paraId="00000015">
            <w:pPr>
              <w:spacing w:after="0" w:before="0" w:lineRule="auto"/>
              <w:rPr/>
            </w:pPr>
            <w:r w:rsidDel="00000000" w:rsidR="00000000" w:rsidRPr="00000000">
              <w:rPr>
                <w:sz w:val="15"/>
                <w:szCs w:val="15"/>
                <w:rtl w:val="0"/>
              </w:rPr>
              <w:t xml:space="preserve">AP  •  APIs &amp; Integrations  •  10</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before="0" w:lineRule="auto"/>
              <w:rPr/>
            </w:pPr>
            <w:r w:rsidDel="00000000" w:rsidR="00000000" w:rsidRPr="00000000">
              <w:rPr>
                <w:sz w:val="15"/>
                <w:szCs w:val="15"/>
                <w:rtl w:val="0"/>
              </w:rPr>
              <w:t xml:space="preserve">BL  •  Plans &amp; Billing  •  18</w:t>
            </w:r>
            <w:r w:rsidDel="00000000" w:rsidR="00000000" w:rsidRPr="00000000">
              <w:rPr>
                <w:rtl w:val="0"/>
              </w:rPr>
            </w:r>
          </w:p>
        </w:tc>
        <w:tc>
          <w:tcPr/>
          <w:p w:rsidR="00000000" w:rsidDel="00000000" w:rsidP="00000000" w:rsidRDefault="00000000" w:rsidRPr="00000000" w14:paraId="00000017">
            <w:pPr>
              <w:spacing w:after="0" w:before="0" w:lineRule="auto"/>
              <w:rPr/>
            </w:pPr>
            <w:r w:rsidDel="00000000" w:rsidR="00000000" w:rsidRPr="00000000">
              <w:rPr>
                <w:sz w:val="15"/>
                <w:szCs w:val="15"/>
                <w:rtl w:val="0"/>
              </w:rPr>
              <w:t xml:space="preserve">SP  •  Support &amp; Communications  •  10</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0" w:before="0" w:lineRule="auto"/>
              <w:rPr/>
            </w:pPr>
            <w:r w:rsidDel="00000000" w:rsidR="00000000" w:rsidRPr="00000000">
              <w:rPr>
                <w:sz w:val="15"/>
                <w:szCs w:val="15"/>
                <w:rtl w:val="0"/>
              </w:rPr>
              <w:t xml:space="preserve">RS  •  Research &amp; Deliverables  •  14</w:t>
            </w:r>
            <w:r w:rsidDel="00000000" w:rsidR="00000000" w:rsidRPr="00000000">
              <w:rPr>
                <w:rtl w:val="0"/>
              </w:rPr>
            </w:r>
          </w:p>
        </w:tc>
        <w:tc>
          <w:tcPr/>
          <w:p w:rsidR="00000000" w:rsidDel="00000000" w:rsidP="00000000" w:rsidRDefault="00000000" w:rsidRPr="00000000" w14:paraId="00000019">
            <w:pPr>
              <w:spacing w:after="0" w:before="0" w:lineRule="auto"/>
              <w:rPr/>
            </w:pPr>
            <w:r w:rsidDel="00000000" w:rsidR="00000000" w:rsidRPr="00000000">
              <w:rPr>
                <w:sz w:val="15"/>
                <w:szCs w:val="15"/>
                <w:rtl w:val="0"/>
              </w:rPr>
              <w:t xml:space="preserve">TR  •  Security &amp; Trust  •  9</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0" w:before="0" w:lineRule="auto"/>
              <w:rPr/>
            </w:pPr>
            <w:r w:rsidDel="00000000" w:rsidR="00000000" w:rsidRPr="00000000">
              <w:rPr>
                <w:sz w:val="15"/>
                <w:szCs w:val="15"/>
                <w:rtl w:val="0"/>
              </w:rPr>
              <w:t xml:space="preserve">MO  •  Monitoring &amp; Watchlists  •  21</w:t>
            </w:r>
            <w:r w:rsidDel="00000000" w:rsidR="00000000" w:rsidRPr="00000000">
              <w:rPr>
                <w:rtl w:val="0"/>
              </w:rPr>
            </w:r>
          </w:p>
        </w:tc>
        <w:tc>
          <w:tcPr/>
          <w:p w:rsidR="00000000" w:rsidDel="00000000" w:rsidP="00000000" w:rsidRDefault="00000000" w:rsidRPr="00000000" w14:paraId="0000001B">
            <w:pPr>
              <w:spacing w:after="0" w:before="0" w:lineRule="auto"/>
              <w:rPr/>
            </w:pPr>
            <w:r w:rsidDel="00000000" w:rsidR="00000000" w:rsidRPr="00000000">
              <w:rPr>
                <w:sz w:val="15"/>
                <w:szCs w:val="15"/>
                <w:rtl w:val="0"/>
              </w:rPr>
              <w:t xml:space="preserve">RG  •  Regulatory &amp; Legal  •  8</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before="0" w:lineRule="auto"/>
              <w:rPr/>
            </w:pPr>
            <w:r w:rsidDel="00000000" w:rsidR="00000000" w:rsidRPr="00000000">
              <w:rPr>
                <w:sz w:val="15"/>
                <w:szCs w:val="15"/>
                <w:rtl w:val="0"/>
              </w:rPr>
              <w:t xml:space="preserve">EV  •  Evidence &amp; Rights  •  18</w:t>
            </w:r>
            <w:r w:rsidDel="00000000" w:rsidR="00000000" w:rsidRPr="00000000">
              <w:rPr>
                <w:rtl w:val="0"/>
              </w:rPr>
            </w:r>
          </w:p>
        </w:tc>
        <w:tc>
          <w:tcPr/>
          <w:p w:rsidR="00000000" w:rsidDel="00000000" w:rsidP="00000000" w:rsidRDefault="00000000" w:rsidRPr="00000000" w14:paraId="0000001D">
            <w:pPr>
              <w:spacing w:after="0" w:before="0" w:lineRule="auto"/>
              <w:rPr/>
            </w:pPr>
            <w:r w:rsidDel="00000000" w:rsidR="00000000" w:rsidRPr="00000000">
              <w:rPr>
                <w:sz w:val="15"/>
                <w:szCs w:val="15"/>
                <w:rtl w:val="0"/>
              </w:rPr>
              <w:t xml:space="preserve">MK  •  Marketing &amp; Education  •  7</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before="0" w:lineRule="auto"/>
              <w:rPr/>
            </w:pPr>
            <w:r w:rsidDel="00000000" w:rsidR="00000000" w:rsidRPr="00000000">
              <w:rPr>
                <w:sz w:val="15"/>
                <w:szCs w:val="15"/>
                <w:rtl w:val="0"/>
              </w:rPr>
              <w:t xml:space="preserve">FI  •  Fixed Income &amp; Methodology  •  11</w:t>
            </w:r>
            <w:r w:rsidDel="00000000" w:rsidR="00000000" w:rsidRPr="00000000">
              <w:rPr>
                <w:rtl w:val="0"/>
              </w:rPr>
            </w:r>
          </w:p>
        </w:tc>
        <w:tc>
          <w:tcPr/>
          <w:p w:rsidR="00000000" w:rsidDel="00000000" w:rsidP="00000000" w:rsidRDefault="00000000" w:rsidRPr="00000000" w14:paraId="0000001F">
            <w:pPr>
              <w:spacing w:after="0" w:before="0" w:lineRule="auto"/>
              <w:rPr/>
            </w:pPr>
            <w:r w:rsidDel="00000000" w:rsidR="00000000" w:rsidRPr="00000000">
              <w:rPr>
                <w:sz w:val="15"/>
                <w:szCs w:val="15"/>
                <w:rtl w:val="0"/>
              </w:rPr>
              <w:t xml:space="preserve">HI  •  Historical Evidence H-track  •  11</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before="0" w:lineRule="auto"/>
              <w:rPr/>
            </w:pPr>
            <w:r w:rsidDel="00000000" w:rsidR="00000000" w:rsidRPr="00000000">
              <w:rPr>
                <w:sz w:val="15"/>
                <w:szCs w:val="15"/>
                <w:rtl w:val="0"/>
              </w:rPr>
              <w:t xml:space="preserve">WK  •  Projects &amp; Collaboration  •  12</w:t>
            </w:r>
            <w:r w:rsidDel="00000000" w:rsidR="00000000" w:rsidRPr="00000000">
              <w:rPr>
                <w:rtl w:val="0"/>
              </w:rPr>
            </w:r>
          </w:p>
        </w:tc>
        <w:tc>
          <w:tcPr/>
          <w:p w:rsidR="00000000" w:rsidDel="00000000" w:rsidP="00000000" w:rsidRDefault="00000000" w:rsidRPr="00000000" w14:paraId="00000021">
            <w:pPr>
              <w:spacing w:after="0" w:before="0" w:lineRule="auto"/>
              <w:rPr/>
            </w:pPr>
            <w:r w:rsidDel="00000000" w:rsidR="00000000" w:rsidRPr="00000000">
              <w:rPr>
                <w:sz w:val="15"/>
                <w:szCs w:val="15"/>
                <w:rtl w:val="0"/>
              </w:rPr>
              <w:t xml:space="preserve">OP  •  Service Reliability  •  8</w:t>
            </w:r>
            <w:r w:rsidDel="00000000" w:rsidR="00000000" w:rsidRPr="00000000">
              <w:rPr>
                <w:rtl w:val="0"/>
              </w:rPr>
            </w:r>
          </w:p>
        </w:tc>
      </w:tr>
    </w:tbl>
    <w:p w:rsidR="00000000" w:rsidDel="00000000" w:rsidP="00000000" w:rsidRDefault="00000000" w:rsidRPr="00000000" w14:paraId="00000022">
      <w:pPr>
        <w:pStyle w:val="Heading1"/>
        <w:keepNext w:val="1"/>
        <w:rPr/>
      </w:pPr>
      <w:r w:rsidDel="00000000" w:rsidR="00000000" w:rsidRPr="00000000">
        <w:rPr>
          <w:rtl w:val="0"/>
        </w:rPr>
        <w:t xml:space="preserve">Delivery contract (required)</w:t>
      </w:r>
    </w:p>
    <w:p w:rsidR="00000000" w:rsidDel="00000000" w:rsidP="00000000" w:rsidRDefault="00000000" w:rsidRPr="00000000" w14:paraId="00000023">
      <w:pPr>
        <w:widowControl w:val="1"/>
        <w:rPr/>
      </w:pPr>
      <w:r w:rsidDel="00000000" w:rsidR="00000000" w:rsidRPr="00000000">
        <w:rPr>
          <w:rtl w:val="0"/>
        </w:rPr>
        <w:t xml:space="preserve">Canonical envelope fields: template_id, template_version, event_id, event_type, occurred_at_utc, tenant_id, recipient_id, recipient_email, locale, jurisdiction, idempotency_key, trace_id, entitlement_snapshot_id, data_rights_policy_id, rendered_content_hash. All URLs are generated server-side from approved hosts; values are escaped, length-limited and authorization checked.</w:t>
      </w:r>
    </w:p>
    <w:p w:rsidR="00000000" w:rsidDel="00000000" w:rsidP="00000000" w:rsidRDefault="00000000" w:rsidRPr="00000000" w14:paraId="00000024">
      <w:pPr>
        <w:widowControl w:val="1"/>
        <w:rPr/>
      </w:pPr>
      <w:r w:rsidDel="00000000" w:rsidR="00000000" w:rsidRPr="00000000">
        <w:rPr>
          <w:rtl w:val="0"/>
        </w:rPr>
        <w:t xml:space="preserve">Delivery pipeline: Domain Event -&gt; Transactional Outbox -&gt; Notification Policy + IAM/Rights -&gt; Template Resolver -&gt; Render -&gt; Provider -&gt; Webhook Delivery State -&gt; Immutable Audit/Notification Center. Idempotency, retry/dead-letter and incident reconciliation are mandatory.</w:t>
      </w:r>
    </w:p>
    <w:p w:rsidR="00000000" w:rsidDel="00000000" w:rsidP="00000000" w:rsidRDefault="00000000" w:rsidRPr="00000000" w14:paraId="00000025">
      <w:pPr>
        <w:pStyle w:val="Heading1"/>
        <w:keepNext w:val="1"/>
        <w:rPr/>
      </w:pPr>
      <w:r w:rsidDel="00000000" w:rsidR="00000000" w:rsidRPr="00000000">
        <w:rPr>
          <w:rtl w:val="0"/>
        </w:rPr>
        <w:t xml:space="preserve">Release and quality gates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Permissions: cross-tenant/unauthorized recipients receive no sensitive subject/body content; security notices have only minimally necessary metadata.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Financial accuracy: no unverified observations described as accepted; correction and withdrawal notices cross-link original event; incomplete source coverage explicitly identified.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Marketing: recorded lawful eligibility, unsubscribe in body, headers for subscribed mail where required, and global suppression, complaint and bounce controls.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Email authentication: SPF, DKIM, DMARC alignment and TLS; authorized sending domains; DMARC reports and reputation monitoring.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Presentation: responsive HTML plus equivalent plaintext; accessible color/contrast; official production brand asset; localization/time zone and major client tests.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8111f"/>
          <w:sz w:val="17"/>
          <w:szCs w:val="17"/>
          <w:u w:val="none"/>
          <w:shd w:fill="auto" w:val="clear"/>
          <w:vertAlign w:val="baseline"/>
          <w:rtl w:val="0"/>
        </w:rPr>
        <w:t xml:space="preserve">Operational acceptance: all events have deterministic fixtures; no duplicate email on retries; no sensitive attachments; no payload-origin open redirect; delivery states visible in support tooling.</w:t>
      </w:r>
    </w:p>
    <w:p w:rsidR="00000000" w:rsidDel="00000000" w:rsidP="00000000" w:rsidRDefault="00000000" w:rsidRPr="00000000" w14:paraId="0000002C">
      <w:pPr>
        <w:pStyle w:val="Heading1"/>
        <w:keepNext w:val="1"/>
        <w:rPr/>
      </w:pPr>
      <w:r w:rsidDel="00000000" w:rsidR="00000000" w:rsidRPr="00000000">
        <w:rPr>
          <w:rtl w:val="0"/>
        </w:rPr>
        <w:t xml:space="preserve">Competitor benchmark</w:t>
      </w:r>
    </w:p>
    <w:p w:rsidR="00000000" w:rsidDel="00000000" w:rsidP="00000000" w:rsidRDefault="00000000" w:rsidRPr="00000000" w14:paraId="0000002D">
      <w:pPr>
        <w:widowControl w:val="1"/>
        <w:rPr/>
      </w:pPr>
      <w:r w:rsidDel="00000000" w:rsidR="00000000" w:rsidRPr="00000000">
        <w:rPr>
          <w:rtl w:val="0"/>
        </w:rPr>
        <w:t xml:space="preserve">Reviewed Bloomberg Terminal, LSEG Workspace, FactSet Workstation / StreetAccount, S&amp;P Capital IQ Pro and AlphaSense. Their public product documentation supports event-driven alerts, source-backed research, configurable monitoring and scheduled email digests. Talvrin adds explicit evidence validation states, legal display-rights gates, deterministic calculation lineage and controlled withdrawal/correction notifications. See workbook tab “Competitor Review” for links.</w:t>
      </w:r>
    </w:p>
    <w:p w:rsidR="00000000" w:rsidDel="00000000" w:rsidP="00000000" w:rsidRDefault="00000000" w:rsidRPr="00000000" w14:paraId="0000002E">
      <w:pPr>
        <w:pStyle w:val="Heading1"/>
        <w:keepNext w:val="1"/>
        <w:rPr/>
      </w:pPr>
      <w:r w:rsidDel="00000000" w:rsidR="00000000" w:rsidRPr="00000000">
        <w:rPr>
          <w:rtl w:val="0"/>
        </w:rPr>
        <w:t xml:space="preserve">Engineering handoff files</w:t>
      </w:r>
    </w:p>
    <w:p w:rsidR="00000000" w:rsidDel="00000000" w:rsidP="00000000" w:rsidRDefault="00000000" w:rsidRPr="00000000" w14:paraId="0000002F">
      <w:pPr>
        <w:widowControl w:val="1"/>
        <w:rPr/>
      </w:pPr>
      <w:r w:rsidDel="00000000" w:rsidR="00000000" w:rsidRPr="00000000">
        <w:rPr>
          <w:rtl w:val="0"/>
        </w:rPr>
        <w:t xml:space="preserve">1. Talvrin_Email_Estate_Engineering_Register_v1.0.xlsx — filterable catalogue, full production email copy, engineering control checklist, variable dictionary and competitor URLs.</w:t>
        <w:br w:type="textWrapping"/>
        <w:t xml:space="preserve">2. Talvrin_Email_Estate_Implementation_Manifest_v1.0.json — machine-readable source including complete rendered HTML/text drafts, triggers, variables, routing and policy metadata.</w:t>
      </w:r>
    </w:p>
    <w:p w:rsidR="00000000" w:rsidDel="00000000" w:rsidP="00000000" w:rsidRDefault="00000000" w:rsidRPr="00000000" w14:paraId="00000030">
      <w:pPr>
        <w:widowControl w:val="1"/>
        <w:rPr/>
      </w:pPr>
      <w:r w:rsidDel="00000000" w:rsidR="00000000" w:rsidRPr="00000000">
        <w:rPr>
          <w:rtl w:val="0"/>
        </w:rPr>
        <w:t xml:space="preserve">Pending before launch: final approved plan names, domains, legal entity/footer requirements, actual monitored source coverage, SLA thresholds, consent policies by jurisdiction, and Product/Security/Compliance signature. Placeholder values are not customer claims.</w:t>
      </w:r>
    </w:p>
    <w:sectPr>
      <w:footerReference r:id="rId6" w:type="default"/>
      <w:pgSz w:h="15840" w:w="12240" w:orient="portrait"/>
      <w:pgMar w:bottom="691" w:top="763"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8111f"/>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2f63ff"/>
        <w:sz w:val="16"/>
        <w:szCs w:val="16"/>
        <w:u w:val="none"/>
        <w:shd w:fill="auto" w:val="clear"/>
        <w:vertAlign w:val="baseline"/>
        <w:rtl w:val="0"/>
      </w:rPr>
      <w:t xml:space="preserve">TALVRIN  •  PRODUCT &amp; ENGINEERING  •  INTERNAL CONTROLLED WORKING BASELINE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8111f"/>
        <w:sz w:val="17"/>
        <w:szCs w:val="17"/>
        <w:lang w:val="en"/>
      </w:rPr>
    </w:rPrDefault>
    <w:pPrDefault>
      <w:pPr>
        <w:spacing w:after="66"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80" w:lineRule="auto"/>
    </w:pPr>
    <w:rPr>
      <w:rFonts w:ascii="Play" w:cs="Play" w:eastAsia="Play" w:hAnsi="Play"/>
      <w:b w:val="1"/>
      <w:bCs w:val="1"/>
      <w:color w:val="08111f"/>
      <w:sz w:val="26"/>
      <w:szCs w:val="26"/>
    </w:rPr>
  </w:style>
  <w:style w:type="paragraph" w:styleId="Heading2">
    <w:name w:val="heading 2"/>
    <w:basedOn w:val="Normal"/>
    <w:next w:val="Normal"/>
    <w:pPr>
      <w:keepNext w:val="1"/>
      <w:keepLines w:val="1"/>
      <w:spacing w:after="60" w:before="180" w:lineRule="auto"/>
    </w:pPr>
    <w:rPr>
      <w:rFonts w:ascii="Play" w:cs="Play" w:eastAsia="Play" w:hAnsi="Play"/>
      <w:b w:val="1"/>
      <w:bCs w:val="1"/>
      <w:color w:val="08111f"/>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8111f"/>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