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64.0" w:type="dxa"/>
        <w:jc w:val="center"/>
        <w:tblLayout w:type="fixed"/>
        <w:tblLook w:val="0400"/>
      </w:tblPr>
      <w:tblGrid>
        <w:gridCol w:w="8208"/>
        <w:gridCol w:w="7056"/>
        <w:tblGridChange w:id="0">
          <w:tblGrid>
            <w:gridCol w:w="8208"/>
            <w:gridCol w:w="70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050b1b" w:val="clear"/>
            <w:tcMar>
              <w:top w:w="14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880360" cy="69968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6996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050b1b" w:val="clear"/>
            <w:tcMar>
              <w:top w:w="14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9"/>
                <w:szCs w:val="29"/>
                <w:rtl w:val="0"/>
              </w:rPr>
              <w:t xml:space="preserve">CTO ARCHITECTURE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c3ff"/>
                <w:sz w:val="19"/>
                <w:szCs w:val="19"/>
                <w:rtl w:val="0"/>
              </w:rPr>
              <w:t xml:space="preserve">RAG, LLM &amp; EVIDENCE GROUNDING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6cdda"/>
                <w:sz w:val="15"/>
                <w:szCs w:val="15"/>
                <w:rtl w:val="0"/>
              </w:rPr>
              <w:t xml:space="preserve">Engineering brief  •  09 September 2026  •  CTO direction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="24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264.0" w:type="dxa"/>
        <w:jc w:val="center"/>
        <w:tblLayout w:type="fixed"/>
        <w:tblLook w:val="0400"/>
      </w:tblPr>
      <w:tblGrid>
        <w:gridCol w:w="1195"/>
        <w:gridCol w:w="14069"/>
        <w:tblGridChange w:id="0">
          <w:tblGrid>
            <w:gridCol w:w="1195"/>
            <w:gridCol w:w="140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f3f1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29768" cy="42976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4297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f3f1ff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6"/>
                <w:szCs w:val="16"/>
                <w:rtl w:val="0"/>
              </w:rPr>
              <w:t xml:space="preserve">THE DECISION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26"/>
                <w:szCs w:val="26"/>
                <w:rtl w:val="0"/>
              </w:rPr>
              <w:t xml:space="preserve">Use an LLM layer grounded by hybrid RAG. Do not train a foundation model at launch.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6637a"/>
                <w:sz w:val="17"/>
                <w:szCs w:val="17"/>
                <w:rtl w:val="0"/>
              </w:rPr>
              <w:t xml:space="preserve">RAG is the evidence-retrieval architecture; the LLM is the reasoning interface. Canonical state, calculations, entitlements and provenance remain outside the model.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before="0" w:line="24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5264.0" w:type="dxa"/>
        <w:jc w:val="center"/>
        <w:tblLayout w:type="fixed"/>
        <w:tblLook w:val="0400"/>
      </w:tblPr>
      <w:tblGrid>
        <w:gridCol w:w="9936"/>
        <w:gridCol w:w="5328"/>
        <w:tblGridChange w:id="0">
          <w:tblGrid>
            <w:gridCol w:w="9936"/>
            <w:gridCol w:w="53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3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8"/>
                <w:szCs w:val="18"/>
                <w:rtl w:val="0"/>
              </w:rPr>
              <w:t xml:space="preserve">1  |  REFERENCE ARCHITECTURE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800.0" w:type="dxa"/>
              <w:jc w:val="left"/>
              <w:tblLayout w:type="fixed"/>
              <w:tblLook w:val="0400"/>
            </w:tblPr>
            <w:tblGrid>
              <w:gridCol w:w="1300"/>
              <w:gridCol w:w="1300"/>
              <w:gridCol w:w="1300"/>
              <w:gridCol w:w="1300"/>
              <w:gridCol w:w="1300"/>
              <w:gridCol w:w="1300"/>
              <w:tblGridChange w:id="0">
                <w:tblGrid>
                  <w:gridCol w:w="1300"/>
                  <w:gridCol w:w="1300"/>
                  <w:gridCol w:w="1300"/>
                  <w:gridCol w:w="1300"/>
                  <w:gridCol w:w="1300"/>
                  <w:gridCol w:w="1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9deea" w:space="0" w:sz="10" w:val="single"/>
                    <w:bottom w:color="d9deea" w:space="0" w:sz="10" w:val="single"/>
                  </w:tcBorders>
                  <w:shd w:fill="f7f8fb" w:val="clear"/>
                  <w:tcMar>
                    <w:top w:w="80.0" w:type="dxa"/>
                    <w:bottom w:w="70.0" w:type="dxa"/>
                  </w:tcMar>
                </w:tcPr>
                <w:p w:rsidR="00000000" w:rsidDel="00000000" w:rsidP="00000000" w:rsidRDefault="00000000" w:rsidRPr="00000000" w14:paraId="0000000E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spacing w:after="4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QUERY + RESOLVE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3"/>
                      <w:szCs w:val="13"/>
                      <w:rtl w:val="0"/>
                    </w:rPr>
                    <w:t xml:space="preserve">Intent, entities, as-of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10" w:val="single"/>
                    <w:bottom w:color="d9deea" w:space="0" w:sz="10" w:val="single"/>
                  </w:tcBorders>
                  <w:shd w:fill="f1f2f7" w:val="clear"/>
                  <w:tcMar>
                    <w:top w:w="80.0" w:type="dxa"/>
                    <w:bottom w:w="70.0" w:type="dxa"/>
                  </w:tcMar>
                </w:tcPr>
                <w:p w:rsidR="00000000" w:rsidDel="00000000" w:rsidP="00000000" w:rsidRDefault="00000000" w:rsidRPr="00000000" w14:paraId="00000011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02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4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POLICY GATE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3"/>
                      <w:szCs w:val="13"/>
                      <w:rtl w:val="0"/>
                    </w:rPr>
                    <w:t xml:space="preserve">Fail-closed entitlements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10" w:val="single"/>
                    <w:bottom w:color="d9deea" w:space="0" w:sz="10" w:val="single"/>
                  </w:tcBorders>
                  <w:shd w:fill="f7f8fb" w:val="clear"/>
                  <w:tcMar>
                    <w:top w:w="80.0" w:type="dxa"/>
                    <w:bottom w:w="70.0" w:type="dxa"/>
                  </w:tcMar>
                </w:tcPr>
                <w:p w:rsidR="00000000" w:rsidDel="00000000" w:rsidP="00000000" w:rsidRDefault="00000000" w:rsidRPr="00000000" w14:paraId="00000014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03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spacing w:after="4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HYBRID RETRIEVE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spacing w:after="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3"/>
                      <w:szCs w:val="13"/>
                      <w:rtl w:val="0"/>
                    </w:rPr>
                    <w:t xml:space="preserve">SQL + FTS + vectors + rerank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10" w:val="single"/>
                    <w:bottom w:color="d9deea" w:space="0" w:sz="10" w:val="single"/>
                  </w:tcBorders>
                  <w:shd w:fill="f1f2f7" w:val="clear"/>
                  <w:tcMar>
                    <w:top w:w="80.0" w:type="dxa"/>
                    <w:bottom w:w="70.0" w:type="dxa"/>
                  </w:tcMar>
                </w:tcPr>
                <w:p w:rsidR="00000000" w:rsidDel="00000000" w:rsidP="00000000" w:rsidRDefault="00000000" w:rsidRPr="00000000" w14:paraId="00000017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4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3"/>
                      <w:szCs w:val="13"/>
                      <w:rtl w:val="0"/>
                    </w:rPr>
                    <w:t xml:space="preserve">Deterministic calculations / rules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10" w:val="single"/>
                    <w:bottom w:color="d9deea" w:space="0" w:sz="10" w:val="single"/>
                  </w:tcBorders>
                  <w:shd w:fill="f7f8fb" w:val="clear"/>
                  <w:tcMar>
                    <w:top w:w="80.0" w:type="dxa"/>
                    <w:bottom w:w="70.0" w:type="dxa"/>
                  </w:tcMar>
                </w:tcPr>
                <w:p w:rsidR="00000000" w:rsidDel="00000000" w:rsidP="00000000" w:rsidRDefault="00000000" w:rsidRPr="00000000" w14:paraId="0000001A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05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4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MODEL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3"/>
                      <w:szCs w:val="13"/>
                      <w:rtl w:val="0"/>
                    </w:rPr>
                    <w:t xml:space="preserve">Task-routed LLM reasoning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10" w:val="single"/>
                    <w:bottom w:color="d9deea" w:space="0" w:sz="10" w:val="single"/>
                  </w:tcBorders>
                  <w:shd w:fill="f1f2f7" w:val="clear"/>
                  <w:tcMar>
                    <w:top w:w="80.0" w:type="dxa"/>
                    <w:bottom w:w="70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06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4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VERIFY + AUDIT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0" w:line="228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3"/>
                      <w:szCs w:val="13"/>
                      <w:rtl w:val="0"/>
                    </w:rPr>
                    <w:t xml:space="preserve">Claims, citations, traceability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8"/>
                <w:szCs w:val="18"/>
                <w:rtl w:val="0"/>
              </w:rPr>
              <w:t xml:space="preserve">2  |  WHAT EACH LAYER OWNS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798.0" w:type="dxa"/>
              <w:jc w:val="left"/>
              <w:tblLayout w:type="fixed"/>
              <w:tblLook w:val="0400"/>
            </w:tblPr>
            <w:tblGrid>
              <w:gridCol w:w="3899"/>
              <w:gridCol w:w="3899"/>
              <w:tblGridChange w:id="0">
                <w:tblGrid>
                  <w:gridCol w:w="3899"/>
                  <w:gridCol w:w="38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9deea" w:space="0" w:sz="8" w:val="single"/>
                    <w:bottom w:color="d9deea" w:space="0" w:sz="8" w:val="single"/>
                  </w:tcBorders>
                  <w:shd w:fill="ffffff" w:val="clear"/>
                  <w:tcMar>
                    <w:top w:w="75.0" w:type="dxa"/>
                    <w:bottom w:w="75.0" w:type="dxa"/>
                  </w:tcMar>
                </w:tcPr>
                <w:p w:rsidR="00000000" w:rsidDel="00000000" w:rsidP="00000000" w:rsidRDefault="00000000" w:rsidRPr="00000000" w14:paraId="00000022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EVIDENCE / SOURCE OF TRUTH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4"/>
                      <w:szCs w:val="14"/>
                      <w:rtl w:val="0"/>
                    </w:rPr>
                    <w:t xml:space="preserve">Bitemporal PostgreSQL, source documents, WORM object storage, canonical instrument/event records, timestamps and provenance.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8" w:val="single"/>
                    <w:bottom w:color="d9deea" w:space="0" w:sz="8" w:val="single"/>
                  </w:tcBorders>
                  <w:shd w:fill="ffffff" w:val="clear"/>
                  <w:tcMar>
                    <w:top w:w="75.0" w:type="dxa"/>
                    <w:bottom w:w="75.0" w:type="dxa"/>
                  </w:tcMar>
                </w:tcPr>
                <w:p w:rsidR="00000000" w:rsidDel="00000000" w:rsidP="00000000" w:rsidRDefault="00000000" w:rsidRPr="00000000" w14:paraId="00000024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HYBRID RAG / GROUNDING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4"/>
                      <w:szCs w:val="14"/>
                      <w:rtl w:val="0"/>
                    </w:rPr>
                    <w:t xml:space="preserve">Structured SQL + full-text search + pgvector embeddings + metadata/as-of filters + authority weighting + reranking.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9deea" w:space="0" w:sz="8" w:val="single"/>
                    <w:bottom w:color="d9deea" w:space="0" w:sz="8" w:val="single"/>
                  </w:tcBorders>
                  <w:shd w:fill="ffffff" w:val="clear"/>
                  <w:tcMar>
                    <w:top w:w="75.0" w:type="dxa"/>
                    <w:bottom w:w="75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DETERMINISTIC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4"/>
                      <w:szCs w:val="14"/>
                      <w:rtl w:val="0"/>
                    </w:rPr>
                    <w:t xml:space="preserve">Yields, transformations, instrument identity, policy/entitlement decisions and rule outputs stay in code/services.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eea" w:space="0" w:sz="8" w:val="single"/>
                    <w:bottom w:color="d9deea" w:space="0" w:sz="8" w:val="single"/>
                  </w:tcBorders>
                  <w:shd w:fill="ffffff" w:val="clear"/>
                  <w:tcMar>
                    <w:top w:w="75.0" w:type="dxa"/>
                    <w:bottom w:w="75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LLM / REASONING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56637a"/>
                      <w:sz w:val="14"/>
                      <w:szCs w:val="14"/>
                      <w:rtl w:val="0"/>
                    </w:rPr>
                    <w:t xml:space="preserve">Synthesis, explanation, comparison, extraction and narrative generation from retrieved evidence; never the system of record.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8"/>
                <w:szCs w:val="18"/>
                <w:rtl w:val="0"/>
              </w:rPr>
              <w:t xml:space="preserve">3  |  MODEL STRATEGY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798.0" w:type="dxa"/>
              <w:jc w:val="left"/>
              <w:tblLayout w:type="fixed"/>
              <w:tblLook w:val="0400"/>
            </w:tblPr>
            <w:tblGrid>
              <w:gridCol w:w="3899"/>
              <w:gridCol w:w="3899"/>
              <w:tblGridChange w:id="0">
                <w:tblGrid>
                  <w:gridCol w:w="3899"/>
                  <w:gridCol w:w="389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f3f1ff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PHASE 1 — LAUNCH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11827"/>
                      <w:sz w:val="14"/>
                      <w:szCs w:val="14"/>
                      <w:rtl w:val="0"/>
                    </w:rPr>
                    <w:t xml:space="preserve">Use frontier hosted LLMs behind a provider-agnostic gateway. Use separate embedding/reranking models. Benchmark by task; no foundation-model training.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bottom w:color="000000" w:space="0" w:sz="0" w:val="nil"/>
                  </w:tcBorders>
                  <w:shd w:fill="f7f8fb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PHASE 2 — ONLY IF EVIDENCE JUSTIFIES IT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11827"/>
                      <w:sz w:val="14"/>
                      <w:szCs w:val="14"/>
                      <w:rtl w:val="0"/>
                    </w:rPr>
                    <w:t xml:space="preserve">Fine-tune or self-host smaller domain models only where measured evaluations show a material gain in extraction, classification, reranking, cost or latency.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3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8"/>
                <w:szCs w:val="18"/>
                <w:rtl w:val="0"/>
              </w:rPr>
              <w:t xml:space="preserve">4  |  ENGINEERING NON-NEGOTIABLES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line="245" w:lineRule="auto"/>
              <w:ind w:left="29" w:hanging="29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7"/>
                <w:szCs w:val="17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7"/>
                <w:szCs w:val="17"/>
                <w:rtl w:val="0"/>
              </w:rPr>
              <w:t xml:space="preserve">Truth lives outside the model.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The LLM is never Talvrin's system of record.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line="245" w:lineRule="auto"/>
              <w:ind w:left="29" w:hanging="29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7"/>
                <w:szCs w:val="17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7"/>
                <w:szCs w:val="17"/>
                <w:rtl w:val="0"/>
              </w:rPr>
              <w:t xml:space="preserve">Authorize before retrieval/context.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Entitlements fail closed; unauthorized evidence never reaches the model.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line="245" w:lineRule="auto"/>
              <w:ind w:left="29" w:hanging="29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7"/>
                <w:szCs w:val="17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7"/>
                <w:szCs w:val="17"/>
                <w:rtl w:val="0"/>
              </w:rPr>
              <w:t xml:space="preserve">Material factual claims resolve to evidence.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Unsupported claims must abstain or clearly qualify uncertainty.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="245" w:lineRule="auto"/>
              <w:ind w:left="29" w:hanging="29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7"/>
                <w:szCs w:val="17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7"/>
                <w:szCs w:val="17"/>
                <w:rtl w:val="0"/>
              </w:rPr>
              <w:t xml:space="preserve">Math and rules are deterministic.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Do not use free-form model arithmetic for canonical calculations or policies.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line="245" w:lineRule="auto"/>
              <w:ind w:left="29" w:hanging="29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7"/>
                <w:szCs w:val="17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7"/>
                <w:szCs w:val="17"/>
                <w:rtl w:val="0"/>
              </w:rPr>
              <w:t xml:space="preserve">Persist reproducibility metadata.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Query, evidence IDs/versions, retrieval parameters, model/prompt version, citations and timestamp.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="245" w:lineRule="auto"/>
              <w:ind w:left="29" w:hanging="29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7"/>
                <w:szCs w:val="17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7"/>
                <w:szCs w:val="17"/>
                <w:rtl w:val="0"/>
              </w:rPr>
              <w:t xml:space="preserve">Model choice is evaluation-driven.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11827"/>
                <w:sz w:val="17"/>
                <w:szCs w:val="17"/>
                <w:rtl w:val="0"/>
              </w:rPr>
              <w:t xml:space="preserve"> Groundedness, citation accuracy, retrieval recall, latency, cost and safety beat benchmark prestige.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8"/>
                <w:szCs w:val="18"/>
                <w:rtl w:val="0"/>
              </w:rPr>
              <w:t xml:space="preserve">5  |  EXPLICITLY NOT BUILDING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968.0" w:type="dxa"/>
              <w:jc w:val="left"/>
              <w:tblLayout w:type="fixed"/>
              <w:tblLook w:val="0400"/>
            </w:tblPr>
            <w:tblGrid>
              <w:gridCol w:w="4968"/>
              <w:tblGridChange w:id="0">
                <w:tblGrid>
                  <w:gridCol w:w="496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9deea" w:space="0" w:sz="8" w:val="single"/>
                    <w:bottom w:color="d9deea" w:space="0" w:sz="8" w:val="single"/>
                  </w:tcBorders>
                  <w:shd w:fill="f7f8fb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60" w:line="245" w:lineRule="auto"/>
                    <w:ind w:left="29" w:hanging="29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No “ChatGPT wrapper”.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11827"/>
                      <w:sz w:val="15"/>
                      <w:szCs w:val="15"/>
                      <w:rtl w:val="0"/>
                    </w:rPr>
                    <w:t xml:space="preserve"> Proprietary evidence must be governed, retrieved and cited — not blindly pasted into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60" w:line="245" w:lineRule="auto"/>
                    <w:ind w:left="29" w:hanging="29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No vector database as source of truth.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11827"/>
                      <w:sz w:val="15"/>
                      <w:szCs w:val="15"/>
                      <w:rtl w:val="0"/>
                    </w:rPr>
                    <w:t xml:space="preserve"> Embeddings are retrieval aids, not canonical market state.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60" w:line="245" w:lineRule="auto"/>
                    <w:ind w:left="29" w:hanging="29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No autonomous invention of facts, calculations or entitlement decisions.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11827"/>
                      <w:sz w:val="15"/>
                      <w:szCs w:val="15"/>
                      <w:rtl w:val="0"/>
                    </w:rPr>
                    <w:t xml:space="preserve"> The system must abstain when evidence is insufficient.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60" w:line="245" w:lineRule="auto"/>
                    <w:ind w:left="29" w:hanging="29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6f5ef8"/>
                      <w:sz w:val="15"/>
                      <w:szCs w:val="15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11827"/>
                      <w:sz w:val="15"/>
                      <w:szCs w:val="15"/>
                      <w:rtl w:val="0"/>
                    </w:rPr>
                    <w:t xml:space="preserve">No general-purpose foundation LLM from scratch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color w:val="111827"/>
                      <w:sz w:val="15"/>
                      <w:szCs w:val="15"/>
                      <w:rtl w:val="0"/>
                    </w:rPr>
                    <w:t xml:space="preserve"> unless a future Board-level business case proves strategic necessity.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="24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5264.0" w:type="dxa"/>
        <w:jc w:val="left"/>
        <w:tblInd w:w="-115.0" w:type="dxa"/>
        <w:tblLayout w:type="fixed"/>
        <w:tblLook w:val="0400"/>
      </w:tblPr>
      <w:tblGrid>
        <w:gridCol w:w="2232"/>
        <w:gridCol w:w="13032"/>
        <w:tblGridChange w:id="0">
          <w:tblGrid>
            <w:gridCol w:w="2232"/>
            <w:gridCol w:w="13032"/>
          </w:tblGrid>
        </w:tblGridChange>
      </w:tblGrid>
      <w:tr>
        <w:trPr>
          <w:cantSplit w:val="0"/>
          <w:tblHeader w:val="0"/>
        </w:trPr>
        <w:tc>
          <w:tcPr>
            <w:shd w:fill="050b1b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DATABASES KNOW  •  SERVICES CALCULATE  •  RAG RETRIEVES  •  LLM REASONS  •  VERIFICATION 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55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f5ef8"/>
                <w:sz w:val="15"/>
                <w:szCs w:val="15"/>
                <w:rtl w:val="0"/>
              </w:rPr>
              <w:t xml:space="preserve">ENGINEERING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55.0" w:type="dxa"/>
              <w:bottom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827"/>
                <w:sz w:val="15"/>
                <w:szCs w:val="15"/>
                <w:rtl w:val="0"/>
              </w:rPr>
              <w:t xml:space="preserve">Build Talvrin as an evidence-grounded LLM system using hybrid RAG, deterministic services and a provider-agnostic model gateway. Treat this as the architecture direction unless superseded by an approved ADR.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1909" w:w="16834" w:orient="landscape"/>
      <w:pgMar w:bottom="490" w:top="518" w:left="619" w:right="619" w:header="144" w:footer="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c879a"/>
        <w:sz w:val="13"/>
        <w:szCs w:val="13"/>
        <w:u w:val="none"/>
        <w:shd w:fill="auto" w:val="clear"/>
        <w:vertAlign w:val="baseline"/>
        <w:rtl w:val="0"/>
      </w:rPr>
      <w:t xml:space="preserve">TALVRIN  |  Confidential — Internal Engineering  |  Talvrin is a trading name of Zoiko Markets, a Zoiko Financial Group company.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