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6d77"/>
          <w:sz w:val="22"/>
          <w:szCs w:val="22"/>
          <w:rtl w:val="0"/>
        </w:rPr>
        <w:t xml:space="preserve">TALVRIN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GLOBAL APPLICATION API</w:t>
        <w:br w:type="textWrapping"/>
        <w:t xml:space="preserve">&amp; INTEGRATION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385170"/>
          <w:sz w:val="20"/>
          <w:szCs w:val="20"/>
          <w:rtl w:val="0"/>
        </w:rPr>
        <w:t xml:space="preserve">Detailed Engineering Wireframe 10 /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stable interface contract between Talvrin clients, backend domains and approved external integrations.</w:t>
      </w:r>
    </w:p>
    <w:tbl>
      <w:tblPr>
        <w:tblStyle w:val="Table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PLT-API-001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Architecture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client/API integration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Proposed engineering baseline — for technical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Parent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PLT-ENG-ARCH-003 v4.0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PLT-PRD-001, PLT-DATA-001, PLT-DATA-002, PLT-RIGHTS-001, PLT-FIN-001, PLT-POL-001, PLT-MON-001, PLT-EVID-001, PLT-AI-001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Canonical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web, mobile, internal-ops and future enterprise/API clients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ENGINEERING POSITION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Talvrin’s public/client API is a stable product contract, not a mirror of internal tables or modules. Clients request business capabilities; the server resolves policy, rights, entitlements, jurisdiction, residency and data-source details behind the contract.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0. EXECUTIVE ENGINEERING DECISION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Talvrin will use a versioned REST/JSON API as the primary client contract, with asynchronous job resources for long-running work and SSE/WebSockets only where a demonstrable product requirement justifies a live connection. Internal module/event contracts remain private.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384060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1 — Canonical global application request path</w:t>
      </w:r>
      <w:r w:rsidDel="00000000" w:rsidR="00000000" w:rsidRPr="00000000">
        <w:rPr>
          <w:rtl w:val="0"/>
        </w:rPr>
      </w:r>
    </w:p>
    <w:tbl>
      <w:tblPr>
        <w:tblStyle w:val="Table3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PRIMARY INVARIANT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No client can bypass authentication, policy, rights, entitlement, capability status or Regional Cell routing by calling a lower-level service endpoint.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SCOPE AND AUTHORITY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Resource naming, request/response envelopes and stable client-facing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Authentication/authorisation context propagation.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REST endpoint standards, filtering, sorting, pagination and field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Idempotency and optimistic concurrency.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Asynchronous jobs, server-sent events and future webhook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Errors, degradation, warnings and retry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Rate limits, quotas and abuse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Versioning, compatibility, deprecation and schema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API observability, documentation, SDK generation and acceptance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1.1 Out of scope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Internal database schema — PLT-DATA-001.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Domain calculation/evidence/monitoring rules — their owning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Detailed identity/security controls — PLT-SEC-001.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Production infrastructure and deployment — PLT-OPS-001.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1.2 Authority rule</w:t>
      </w:r>
    </w:p>
    <w:tbl>
      <w:tblPr>
        <w:tblStyle w:val="Table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DOMAIN OWNS MEANING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PLT-API-001 owns transport and contract semantics. Domain specifications own business meaning. The API layer must not re-implement financial, evidence, monitoring or regulatory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2. API DOCTRINE — NON-NEGOTIABLE INVARIANTS</w:t>
      </w:r>
    </w:p>
    <w:tbl>
      <w:tblPr>
        <w:tblStyle w:val="Table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Business resources, not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URLs/resources do not expose database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Server-side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Client-supplied jurisdiction/tier/rights claims are hints at most, never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Stable machine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Enums, errors, pagination and IDs are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Opaque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Internal IDs are non-semantic and brand-neutral PLT-prefixed/opaque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Idempotent mutations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Retry-safe creation and command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Explicit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timestamps are ISO-8601/RFC3339-style UTC instants; market/user time zones are separate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Explicit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Amount always travels with currency; no implicit account/locale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Explicit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Financial metrics carry unit/scale/convention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silent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Stale/delayed/unavailable/restricted states are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internal errors leaked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Stack traces, vendor payloads and restricted data never reach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Backward compatibility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Additive changes preferred; breaking changes require new major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arbitrary model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Clients request AI task capability, not provider/model.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arbitrary raw vendor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Licensed raw payload endpoints do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hidden recommendation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schemas contain no prohibited recommendation primitives.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3. API SURFACE MODEL</w:t>
      </w:r>
    </w:p>
    <w:tbl>
      <w:tblPr>
        <w:tblStyle w:val="Table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Public application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Web/mobile authenticated product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Public unauthenticated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Minimal discovery/public-site data only where explicitly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Internal operations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Privileged admin/ops functions; separate auth/audit.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Internal service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Private module-to-module calls; not a customer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Enterprise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Future contract-scoped structured feeds/data access subject to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Webhook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Future outbound integration surface; not an inbound command channel.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3.1 Namespace</w:t>
      </w:r>
    </w:p>
    <w:tbl>
      <w:tblPr>
        <w:tblStyle w:val="Table7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/api/v1/...</w:t>
              <w:br w:type="textWrapping"/>
              <w:t xml:space="preserve">/internal/v1/...</w:t>
              <w:br w:type="textWrapping"/>
              <w:t xml:space="preserve">/ops/v1/...</w:t>
              <w:br w:type="textWrapping"/>
              <w:br w:type="textWrapping"/>
              <w:t xml:space="preserve">Do NOT include consumer brand in resource paths.</w:t>
              <w:br w:type="textWrapping"/>
              <w:t xml:space="preserve">Do NOT expose service names, database schemas or vendor names in stable public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3.2 Client types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Web BFF /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Mobile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Internal Operations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Future approved enterprise/API consumer.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4. AUTHENTICATION &amp; REQUEST CONTEXT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Authentication is delegated to the identity architecture; every request reaching a protected endpoint carries a server-verified request context.</w:t>
      </w:r>
    </w:p>
    <w:tbl>
      <w:tblPr>
        <w:tblStyle w:val="Table8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RequestContext {</w:t>
              <w:br w:type="textWrapping"/>
              <w:t xml:space="preserve">  request_id</w:t>
              <w:br w:type="textWrapping"/>
              <w:t xml:space="preserve">  correlation_id</w:t>
              <w:br w:type="textWrapping"/>
              <w:t xml:space="preserve">  principal_id</w:t>
              <w:br w:type="textWrapping"/>
              <w:t xml:space="preserve">  account_id?</w:t>
              <w:br w:type="textWrapping"/>
              <w:t xml:space="preserve">  session_id?</w:t>
              <w:br w:type="textWrapping"/>
              <w:t xml:space="preserve">  auth_strength</w:t>
              <w:br w:type="textWrapping"/>
              <w:t xml:space="preserve">  user_jurisdiction</w:t>
              <w:br w:type="textWrapping"/>
              <w:t xml:space="preserve">  servicing_entity</w:t>
              <w:br w:type="textWrapping"/>
              <w:t xml:space="preserve">  regional_cell</w:t>
              <w:br w:type="textWrapping"/>
              <w:t xml:space="preserve">  locale</w:t>
              <w:br w:type="textWrapping"/>
              <w:t xml:space="preserve">  user_timezone</w:t>
              <w:br w:type="textWrapping"/>
              <w:t xml:space="preserve">  subscription_tier</w:t>
              <w:br w:type="textWrapping"/>
              <w:t xml:space="preserve">  capability_manifest_version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4.1 Header contract</w:t>
      </w:r>
    </w:p>
    <w:tbl>
      <w:tblPr>
        <w:tblStyle w:val="Table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Standard bearer/session mechanism from approved identity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on retryable business mutations.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If-Match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Used for optimistic concurrency where exposed.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Preference only; server validates activated locale.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X-Request-ID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Optional client request ID; server generates canonical request_id.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4.2 Client-controlled context</w:t>
      </w:r>
    </w:p>
    <w:tbl>
      <w:tblPr>
        <w:tblStyle w:val="Table10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DO NOT TRUST CLIENT CONTEXT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client may request a locale or display currency. It may not authoritatively declare its legal jurisdiction, subscription rights, data-professional status, market-data entitlement or processing region.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5. RESOURCE NAMING &amp; URI DESIGN</w:t>
      </w:r>
    </w:p>
    <w:tbl>
      <w:tblPr>
        <w:tblStyle w:val="Table1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Plural 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/instruments, /documents, /watchlists, /alerts.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Nested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only when lifecycle is truly subordinate; avoid deep nesting.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explicit action endpoint only where state transition is not naturally CRUD, e.g. /rules/{id}/pause.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Opaque IDs in path; external identifiers used as search/filter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 verbs for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GET /instruments/{id}, not /getInstrument.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 internal version field in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major version is transport contract; domain object version travels in representation.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5.1 Canonical resource domains</w:t>
      </w:r>
    </w:p>
    <w:tbl>
      <w:tblPr>
        <w:tblStyle w:val="Table1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/instruments     /issuers          /markets</w:t>
              <w:br w:type="textWrapping"/>
              <w:t xml:space="preserve">/facts             /evidence         /documents</w:t>
              <w:br w:type="textWrapping"/>
              <w:t xml:space="preserve">/calculations      /comparisons      /watchlists</w:t>
              <w:br w:type="textWrapping"/>
              <w:t xml:space="preserve">/monitoring/rules  /monitoring/alerts</w:t>
              <w:br w:type="textWrapping"/>
              <w:t xml:space="preserve">/research          /jobs             /account</w:t>
              <w:br w:type="textWrapping"/>
              <w:t xml:space="preserve">/subscriptions     /exports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6. REPRESENTATION ENVELOPE</w:t>
      </w:r>
    </w:p>
    <w:tbl>
      <w:tblPr>
        <w:tblStyle w:val="Table13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{</w:t>
              <w:br w:type="textWrapping"/>
              <w:t xml:space="preserve">  "data": { ... },</w:t>
              <w:br w:type="textWrapping"/>
              <w:t xml:space="preserve">  "meta": {</w:t>
              <w:br w:type="textWrapping"/>
              <w:t xml:space="preserve">    "request_id": "…",</w:t>
              <w:br w:type="textWrapping"/>
              <w:t xml:space="preserve">    "as_of": "2026-08-30T18:20:00Z",</w:t>
              <w:br w:type="textWrapping"/>
              <w:t xml:space="preserve">    "knowledge_time": "…",</w:t>
              <w:br w:type="textWrapping"/>
              <w:t xml:space="preserve">    "data_status": "CURRENT",</w:t>
              <w:br w:type="textWrapping"/>
              <w:t xml:space="preserve">    "warnings": []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6.1 Resource metadata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Use as_of/knowledge_time only when meaningful to the resource; do not fabricate timestamps.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Rights-restricted/masked fields are omitted or represented with explicit restriction metadata according to endpoint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Warnings are typed machine-readable objects, not free-form strings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6.2 No universal wrapper for files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Binary exports and approved document downloads may use content responses with signed/short-lived delivery references where rights permit; they must not be base64-wrapped inside ordinary JSON.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7. TYPES, MONEY, NUMBERS, DATES &amp; ENUMS</w:t>
      </w:r>
    </w:p>
    <w:tbl>
      <w:tblPr>
        <w:tblStyle w:val="Table1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UTC instant with Z/offset; preserve source/market timezone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YYYY-MM-DD when calendar date has no time-of-day.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Decimal string + ISO currency code; never binary float.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Percentage/rate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Decimal string + unit basis; basis points vs percent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Decimal string + 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String opaque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Uppercase stable machine token; additions treated as compatibility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where truly two-state; do not encode UNKNOWN as false.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7.1 Numeric serialization</w:t>
      </w:r>
    </w:p>
    <w:tbl>
      <w:tblPr>
        <w:tblStyle w:val="Table1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{</w:t>
              <w:br w:type="textWrapping"/>
              <w:t xml:space="preserve">  "value": "4.5123",</w:t>
              <w:br w:type="textWrapping"/>
              <w:t xml:space="preserve">  "unit": "PERCENT",</w:t>
              <w:br w:type="textWrapping"/>
              <w:t xml:space="preserve">  "display_precision": 2,</w:t>
              <w:br w:type="textWrapping"/>
              <w:t xml:space="preserve">  "calculation_result_id": "…"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API never asks clients to reconstruct authoritative financial values from display-formatted strings.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8. PAGINATION, FILTERING, SORTING &amp; SEARCH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8.1 Pagination</w:t>
      </w:r>
    </w:p>
    <w:tbl>
      <w:tblPr>
        <w:tblStyle w:val="Table1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Cursor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Default for changing collections and timelines.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Page-number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Permitted only for stable admin/reporting collections.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Server-capped; default and maximum endpoint-specific.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Opaque; clients must not parse.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{</w:t>
              <w:br w:type="textWrapping"/>
              <w:t xml:space="preserve">  "data": [...],</w:t>
              <w:br w:type="textWrapping"/>
              <w:t xml:space="preserve">  "meta": {</w:t>
              <w:br w:type="textWrapping"/>
              <w:t xml:space="preserve">    "next_cursor": "opaque",</w:t>
              <w:br w:type="textWrapping"/>
              <w:t xml:space="preserve">    "has_more": true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8.2 Filters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Filters are allowlisted per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Unknown filter names return a validation error rather than being silently ignored.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Time-range filters state whether they apply to valid time, knowledge time, publication time or creation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8.3 Search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Search endpoints may combine exact identifiers, structured fields and text retrieval, but match semantics and result type are explicit. Search is discovery; it is not authoritative fact reconciliation.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9. IDEMPOTENCY &amp; RETRY SAFETY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9.1 Mutation requirements</w:t>
      </w:r>
    </w:p>
    <w:tbl>
      <w:tblPr>
        <w:tblStyle w:val="Table1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Idempotency-Key required for financially/materially meaningful or retry-prone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Command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Idempotency-Key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PUT/PATCH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Concurrency control where lost update is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Delete/retire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Repeat request returns stable final state where safe.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9.2 Idempotency record</w:t>
      </w:r>
    </w:p>
    <w:tbl>
      <w:tblPr>
        <w:tblStyle w:val="Table18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IdempotencyRecord {</w:t>
              <w:br w:type="textWrapping"/>
              <w:t xml:space="preserve">  principal_id</w:t>
              <w:br w:type="textWrapping"/>
              <w:t xml:space="preserve">  endpoint_scope</w:t>
              <w:br w:type="textWrapping"/>
              <w:t xml:space="preserve">  idempotency_key</w:t>
              <w:br w:type="textWrapping"/>
              <w:t xml:space="preserve">  request_hash</w:t>
              <w:br w:type="textWrapping"/>
              <w:t xml:space="preserve">  response_status</w:t>
              <w:br w:type="textWrapping"/>
              <w:t xml:space="preserve">  response_body_ref</w:t>
              <w:br w:type="textWrapping"/>
              <w:t xml:space="preserve">  created_at</w:t>
              <w:br w:type="textWrapping"/>
              <w:t xml:space="preserve">  expires_at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9.3 Conflict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Reusing an Idempotency-Key with a materially different request body returns a conflict error; it must not create a second business object.</w:t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10. OPTIMISTIC CONCURRENCY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Mutable client-owned resources such as watchlists, preferences and monitoring rules expose a resource_version/ETag.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PATCH/PUT requiring protection accepts If-Match or equivalent version precondition.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Stale versions return 412 PRECONDITION_FAILED or documented 409 conflict; server does not silently overwrite.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Immutable domain versions such as RuleVersion or EvidenceBundle are never edited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10.1 Patch semantics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 JSON Merge Patch or explicit endpoint-specific patch schemas; do not accept arbitrary deep object mutation when field-level policy differs.</w:t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11. ASYNCHRONOUS JOBS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384060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2 — Long-running asynchronous job contract</w:t>
      </w:r>
      <w:r w:rsidDel="00000000" w:rsidR="00000000" w:rsidRPr="00000000">
        <w:rPr>
          <w:rtl w:val="0"/>
        </w:rPr>
      </w:r>
    </w:p>
    <w:tbl>
      <w:tblPr>
        <w:tblStyle w:val="Table1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Accepted but not started.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Active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Result reference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Terminal with typed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CANCEL_REQUESTED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Cancellation requested; not yet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Stopped without successful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Result or job metadata aged out under retention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11.1 Job resource</w:t>
      </w:r>
    </w:p>
    <w:tbl>
      <w:tblPr>
        <w:tblStyle w:val="Table20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Job {</w:t>
              <w:br w:type="textWrapping"/>
              <w:t xml:space="preserve">  job_id</w:t>
              <w:br w:type="textWrapping"/>
              <w:t xml:space="preserve">  job_type</w:t>
              <w:br w:type="textWrapping"/>
              <w:t xml:space="preserve">  status</w:t>
              <w:br w:type="textWrapping"/>
              <w:t xml:space="preserve">  progress?</w:t>
              <w:br w:type="textWrapping"/>
              <w:t xml:space="preserve">  submitted_at</w:t>
              <w:br w:type="textWrapping"/>
              <w:t xml:space="preserve">  started_at?</w:t>
              <w:br w:type="textWrapping"/>
              <w:t xml:space="preserve">  completed_at?</w:t>
              <w:br w:type="textWrapping"/>
              <w:t xml:space="preserve">  result_ref?</w:t>
              <w:br w:type="textWrapping"/>
              <w:t xml:space="preserve">  error?</w:t>
              <w:br w:type="textWrapping"/>
              <w:t xml:space="preserve">  expires_at?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11.2 Suitable job classes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Long document research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Large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Controlled reprocessing/backfill.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Bulk enterprise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Any workload whose normal completion should not depend on an open client HTTP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12. SERVER-SENT EVENTS &amp; WEBSOCKETS</w:t>
      </w:r>
    </w:p>
    <w:tbl>
      <w:tblPr>
        <w:tblStyle w:val="Table2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Preferred for one-way server progress/event streams where polling is materially inferior.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only where true bidirectional low-latency interaction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Default for ordinary async jobs if update frequency is 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12.1 Constraints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Live channels do not bypass policy or entitlement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Reconnect uses cursor/event_id where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 client assumes event stream is the system of record; resources remain queryable.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Market-data streaming is not implied by using WebSocket/SSE; vendor latency rights still govern.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13. CANONICAL ERROR MODEL</w:t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333962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3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3 — Canonical error mapping</w:t>
      </w:r>
      <w:r w:rsidDel="00000000" w:rsidR="00000000" w:rsidRPr="00000000">
        <w:rPr>
          <w:rtl w:val="0"/>
        </w:rPr>
      </w:r>
    </w:p>
    <w:tbl>
      <w:tblPr>
        <w:tblStyle w:val="Table2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"DATA_UNAVAILABLE",</w:t>
              <w:br w:type="textWrapping"/>
              <w:t xml:space="preserve">    "message": "Required market data is currently unavailable.",</w:t>
              <w:br w:type="textWrapping"/>
              <w:t xml:space="preserve">    "request_id": "…",</w:t>
              <w:br w:type="textWrapping"/>
              <w:t xml:space="preserve">    "retryable": true,</w:t>
              <w:br w:type="textWrapping"/>
              <w:t xml:space="preserve">    "retry_after_seconds": 60,</w:t>
              <w:br w:type="textWrapping"/>
              <w:t xml:space="preserve">    "details": []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13.1 Stable error families</w:t>
      </w:r>
    </w:p>
    <w:tbl>
      <w:tblPr>
        <w:tblStyle w:val="Table2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Malformed or semantically invalid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UNAUTHENTICATED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valid identity/session.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Authenticated but operation not permitted.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Resource absent or intentionally indistinguishable from inaccessible.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State/idempotency/business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PRECONDITION_FAILED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Resource version/If-Match mismatch.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Quota/rate 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DATA_DELAYED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usable but delayed; often warning rather than hard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data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RIGHTS_RESTRICTED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Requested data/action prohibited by effective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CAPABILITY_UNAVAILABLE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Feature not active for jurisdiction/account/status.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POLICY_BLOCKED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Jurisdiction/regulatory policy blocks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JOB_FAILED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Async job terminal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Unexpected server failure; opaque to client.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14. HTTP STATUS SEMANTICS</w:t>
      </w:r>
    </w:p>
    <w:tbl>
      <w:tblPr>
        <w:tblStyle w:val="Table2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Successful synchronous read/update.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Resource created synchronously.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Accepted asynchronous command/job.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Successful command with no body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Malformed request / basic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Authenticated but explicitly forbidden.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found or intentionally concealed inaccessible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State/business/idempotency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Optimistic-concurrency precondition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Well-formed request failing domain semantic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Rate limited.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Unexpected internal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502/503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Dependency/service unavailable where gateway semantics justify.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14.1 No status-code overloading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Domain-specific states such as STALE or DELAYED are usually represented in successful resource metadata when a useful permitted result still exists; do not misuse 500-class errors for expected product degradation.</w:t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15. WARNINGS &amp; DEGRADATION CONTRACT</w:t>
      </w:r>
    </w:p>
    <w:tbl>
      <w:tblPr>
        <w:tblStyle w:val="Table2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Warning {</w:t>
              <w:br w:type="textWrapping"/>
              <w:t xml:space="preserve">  code</w:t>
              <w:br w:type="textWrapping"/>
              <w:t xml:space="preserve">  severity      // INFO | WARNING | MATERIAL</w:t>
              <w:br w:type="textWrapping"/>
              <w:t xml:space="preserve">  message_key</w:t>
              <w:br w:type="textWrapping"/>
              <w:t xml:space="preserve">  data_status?</w:t>
              <w:br w:type="textWrapping"/>
              <w:t xml:space="preserve">  source_id?</w:t>
              <w:br w:type="textWrapping"/>
              <w:t xml:space="preserve">  effective_at?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DATA_DELAYED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Resource returned with explicit timestamp/latency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DATA_STALE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Resource returned with stale marker; product behaviour follows domain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PARTIAL_EVIDENCE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Research response has known evidence coverage limitation.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RESTRICTED_FIELDS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Some fields omitted/masked due rights 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LATE_EVENT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Monitoring event arrived after original valid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Previously shown result has a correction/supersession.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16. RATE LIMITING, QUOTAS &amp; FAIR USE</w:t>
      </w:r>
    </w:p>
    <w:tbl>
      <w:tblPr>
        <w:tblStyle w:val="Table2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Anonymous/IP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Public-surface abuse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Interactive product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Shared team/API consumption.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Endpoint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Expensive research/export/calculation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Provider-backed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AI/vendor quotas and cost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Enterprise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Contract-specific request/data quotas.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16.1 Rate-limit response</w:t>
      </w:r>
    </w:p>
    <w:tbl>
      <w:tblPr>
        <w:tblStyle w:val="Table27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"RATE_LIMITED",</w:t>
              <w:br w:type="textWrapping"/>
              <w:t xml:space="preserve">    "retryable": true,</w:t>
              <w:br w:type="textWrapping"/>
              <w:t xml:space="preserve">    "retry_after_seconds": 30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16.2 No hidden economic throttling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If a paid tier changes cadence, data latency or quota, the entitlement is explicit in product configuration and reflected in machine-readable capability/limit metadata.</w:t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17. DOMAIN ENDPOINT CATALOGUE — CORE</w:t>
      </w:r>
    </w:p>
    <w:tbl>
      <w:tblPr>
        <w:tblStyle w:val="Table2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/instruments/{id}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instrument summary + permitted factual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/instruments/{id}/facts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Accepted facts with time/status/evidence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/instruments/{id}/events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Objective lifecycle/market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/issuers/{id}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Issuer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Search/filter eligible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/documents/{id}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Logical document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/evidence/records/{id}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Authorised evidence projection.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Run approved deterministic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user-directed comparison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/markets/{id}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Market/venue/calendar metadata where exposed.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18. MONITORING &amp; PERSISTENT-STATE ENDPOINTS</w:t>
      </w:r>
    </w:p>
    <w:tbl>
      <w:tblPr>
        <w:tblStyle w:val="Table2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/watchlists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List user/account watchlists.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/watchlists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watchlist.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PATCH /watchlists/{id}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Update metadata/version.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/watchlists/{id}/items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Add user-selected instrument.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DELETE /watchlists/{id}/items/{instrument_id}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Remove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/monitoring/rules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/monitoring/rules/{id}/versions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immutable edited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/monitoring/rules/{id}/pause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/monitoring/rules/{id}/resume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Resume after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/monitoring/alerts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/monitoring/coverage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Coverage statement/incidents.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19. RESEARCH &amp; AI ENDPOINTS</w:t>
      </w:r>
    </w:p>
    <w:tbl>
      <w:tblPr>
        <w:tblStyle w:val="Table3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synchronous or async factual research task depending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/research/{id}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Saved/retrievable research artefact where product supports.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/research/{id}/follow-ups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Context-bounded follow-up using permitted prior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GET /research/{id}/evidence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EvidenceBundle/citation manifest projection.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 /research/document-summary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Task-specific source-grounded 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19.1 Response contract</w:t>
      </w:r>
    </w:p>
    <w:tbl>
      <w:tblPr>
        <w:tblStyle w:val="Table31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NO MODEL VENDOR LEAKAGE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 responses do not expose provider-specific message IDs, hidden prompts, raw chain metadata or vendor implementation details. They expose Talvrin response/evidence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Style w:val="Heading1"/>
        <w:rPr/>
      </w:pPr>
      <w:r w:rsidDel="00000000" w:rsidR="00000000" w:rsidRPr="00000000">
        <w:rPr>
          <w:rtl w:val="0"/>
        </w:rPr>
        <w:t xml:space="preserve">20. ENTITLEMENTS &amp; CAPABILITY MANIFEST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20.1 Capability endpoint</w:t>
      </w:r>
    </w:p>
    <w:tbl>
      <w:tblPr>
        <w:tblStyle w:val="Table3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GET /account/capabilities</w:t>
              <w:br w:type="textWrapping"/>
              <w:br w:type="textWrapping"/>
              <w:t xml:space="preserve">{</w:t>
              <w:br w:type="textWrapping"/>
              <w:t xml:space="preserve">  "data": {</w:t>
              <w:br w:type="textWrapping"/>
              <w:t xml:space="preserve">    "jurisdiction": "…",</w:t>
              <w:br w:type="textWrapping"/>
              <w:t xml:space="preserve">    "features": {</w:t>
              <w:br w:type="textWrapping"/>
              <w:t xml:space="preserve">      "research": {"status":"AVAILABLE"},</w:t>
              <w:br w:type="textWrapping"/>
              <w:t xml:space="preserve">      "monitoring": {"status":"AVAILABLE","max_rules":50},</w:t>
              <w:br w:type="textWrapping"/>
              <w:t xml:space="preserve">      "real_time_data": {"status":"RESTRICTED"}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20.2 Manifest role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Allows clients to render correct controls without guessing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Does not replace server-side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Versioned/cached with short enough TTL for material policy/rights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 describe upgrade-needed vs legally unavailable vs temporarily restricted distinctly.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r w:rsidDel="00000000" w:rsidR="00000000" w:rsidRPr="00000000">
        <w:rPr>
          <w:rtl w:val="0"/>
        </w:rPr>
        <w:t xml:space="preserve">21. EXPORT &amp; DOWNLOAD CONTRACT</w:t>
      </w:r>
    </w:p>
    <w:tbl>
      <w:tblPr>
        <w:tblStyle w:val="Table3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CSV / structured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approved fields/datasets; rights checked at job creation and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Document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where source rights allow; use controlled short-lived URL/stream.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Large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Async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Separate enterprise entitlement and data-rights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21.1 Export manifest</w:t>
      </w:r>
    </w:p>
    <w:tbl>
      <w:tblPr>
        <w:tblStyle w:val="Table3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ExportJob {</w:t>
              <w:br w:type="textWrapping"/>
              <w:t xml:space="preserve">  export_job_id</w:t>
              <w:br w:type="textWrapping"/>
              <w:t xml:space="preserve">  principal/account</w:t>
              <w:br w:type="textWrapping"/>
              <w:t xml:space="preserve">  requested_resource</w:t>
              <w:br w:type="textWrapping"/>
              <w:t xml:space="preserve">  field_set</w:t>
              <w:br w:type="textWrapping"/>
              <w:t xml:space="preserve">  source_ids[]</w:t>
              <w:br w:type="textWrapping"/>
              <w:t xml:space="preserve">  rights_decision_ids[]</w:t>
              <w:br w:type="textWrapping"/>
              <w:t xml:space="preserve">  status</w:t>
              <w:br w:type="textWrapping"/>
              <w:t xml:space="preserve">  created_at</w:t>
              <w:br w:type="textWrapping"/>
              <w:t xml:space="preserve">  expires_at</w:t>
              <w:br w:type="textWrapping"/>
              <w:t xml:space="preserve">  download_ref?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pStyle w:val="Heading1"/>
        <w:rPr/>
      </w:pPr>
      <w:r w:rsidDel="00000000" w:rsidR="00000000" w:rsidRPr="00000000">
        <w:rPr>
          <w:rtl w:val="0"/>
        </w:rPr>
        <w:t xml:space="preserve">22. WEBHOOK CONTRACT — FUTURE ENTERPRISE</w:t>
      </w:r>
    </w:p>
    <w:p w:rsidR="00000000" w:rsidDel="00000000" w:rsidP="00000000" w:rsidRDefault="00000000" w:rsidRPr="00000000" w14:paraId="000001C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384060"/>
            <wp:effectExtent b="0" l="0" r="0" t="0"/>
            <wp:docPr descr="Image: image4.png" id="4" name="image4.png"/>
            <a:graphic>
              <a:graphicData uri="http://schemas.openxmlformats.org/drawingml/2006/picture">
                <pic:pic>
                  <pic:nvPicPr>
                    <pic:cNvPr descr="Image: image4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4 — Future enterprise webhook delivery</w:t>
      </w:r>
      <w:r w:rsidDel="00000000" w:rsidR="00000000" w:rsidRPr="00000000">
        <w:rPr>
          <w:rtl w:val="0"/>
        </w:rPr>
      </w:r>
    </w:p>
    <w:tbl>
      <w:tblPr>
        <w:tblStyle w:val="Table3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HMAC/asymmetric signing with timestamp and rotatable secret/key.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Replay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 tolerance + event/delivery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At-least-once with exponential backoff.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Receiver deduplicates delivery_id/event_id.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Endpoint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Ownership/handshake before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Payload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contractually permitted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Dead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Visible to customer/admin after retry exhaustion.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22.1 Event examples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monitoring.alert.created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monitoring.alert.corrected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document.published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job.completed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Only events explicitly contracted and rights-permitted.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/>
      </w:pPr>
      <w:r w:rsidDel="00000000" w:rsidR="00000000" w:rsidRPr="00000000">
        <w:rPr>
          <w:rtl w:val="0"/>
        </w:rPr>
        <w:t xml:space="preserve">23. VERSIONING &amp; COMPATIBILITY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23.1 Major API version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Use a stable major path (e.g. /api/v1). Additive non-breaking changes remain in the same major version. Breaking changes require a new major contract or an explicitly versioned representation.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23.2 Breaking changes</w:t>
      </w:r>
    </w:p>
    <w:tbl>
      <w:tblPr>
        <w:tblStyle w:val="Table3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Removing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Breaking unless field was explicitly optional/experimental with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Renaming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Breaking.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Changing field type/unit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Breaking.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Changing enum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Breaking.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Adding optional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Normally additive.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Adding enum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Potentially breaking for closed clients; clients must be instructed to tolerate unknown values where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Tightening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Compatibility review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23.3 Deprecation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Publish deprecation notice and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Instrument usage before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 not remove a materially used endpoint without migration path and approved sunset.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tl w:val="0"/>
        </w:rPr>
        <w:t xml:space="preserve">24. SCHEMA GOVERNANCE &amp; OPENAPI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Every public/client endpoint is described in machine-readable OpenAPI 3.1-compatible specification or later approved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Schemas are generated/validated from a single contract source, not manually duplicated across services and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CI blocks undocumented endpoint additions and incompatible schema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Examples are contract tests, not decorative prose.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Internal events use their own schema registry/versioning; do not publish internal event schemas as public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24.1 Generated SDKs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Where SDKs are produced, generate from the approved API schema and add thin ergonomic wrappers only. Business rules must not live solely in SDKs.</w:t>
      </w:r>
    </w:p>
    <w:p w:rsidR="00000000" w:rsidDel="00000000" w:rsidP="00000000" w:rsidRDefault="00000000" w:rsidRPr="00000000" w14:paraId="000001FD">
      <w:pPr>
        <w:pStyle w:val="Heading1"/>
        <w:rPr/>
      </w:pPr>
      <w:r w:rsidDel="00000000" w:rsidR="00000000" w:rsidRPr="00000000">
        <w:rPr>
          <w:rtl w:val="0"/>
        </w:rPr>
        <w:t xml:space="preserve">25. SECURITY &amp; PRIVACY API CONTROLS</w:t>
      </w:r>
    </w:p>
    <w:tbl>
      <w:tblPr>
        <w:tblStyle w:val="Table3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Object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Server verifies account/principal access on every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Opaque IDs, rate limits, no sequential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Field-level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Projection filtered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endpoint-required personal data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Never return provider credentials, internal keys or signed long-lived URLs.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mutations and privileged reads emit audit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CORS / 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Restricted to approved web clients; not an auth mechanism.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controls for cookie/session-based web 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25.1 BOLA / IDOR</w:t>
      </w:r>
    </w:p>
    <w:tbl>
      <w:tblPr>
        <w:tblStyle w:val="Table38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OBJECT AUTHORIZATION IS NOT OPTIONAL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Knowing an opaque resource ID never grants access. Cross-account resource access is a P1 security defect and must be covered by automated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pStyle w:val="Heading1"/>
        <w:rPr/>
      </w:pPr>
      <w:r w:rsidDel="00000000" w:rsidR="00000000" w:rsidRPr="00000000">
        <w:rPr>
          <w:rtl w:val="0"/>
        </w:rPr>
        <w:t xml:space="preserve">26. API OBSERVABILITY &amp; NFRs</w:t>
      </w:r>
    </w:p>
    <w:tbl>
      <w:tblPr>
        <w:tblStyle w:val="Table3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Core read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≤200 ms for instrument/fact reads at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Calculation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≤300 ms when inputs already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BFF aggregation p95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≤100 ms excluding downstream domain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Error envelope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non-2xx responses use canonical error contract except infrastructure-level edge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Request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application requests carry request_id/correlation_id.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Aligned to PLT-ENG-ARCH-003/OPS; API layer target 99.5% launch, higher per critical internal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26.1 Required telemetry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Latency/error rate by endpoint, client type, region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429 rates and quota exhaustion.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Policy/rights/capability denial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Idempotency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Async job duration/failure.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Payload size and slow-client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27. FAILURE &amp; DEGRADATION MATRIX</w:t>
      </w:r>
    </w:p>
    <w:tbl>
      <w:tblPr>
        <w:tblStyle w:val="Table4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API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Policy service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Protected/gated operation fails closed; safe ungated reads only if explicitly designed.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Rights service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Rights-gated response denied/degraded.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Market-data source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Successful response may include STALE/DELAYED state if domain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 provider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Research endpoint returns evidence-only degradation or async failure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Notification provider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Monitoring resource remains authoritative; delivery status shows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Regional Cell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Failover only to pre-authorised cell; otherwise explicit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Database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Requests may return retryable service-unavailable; no split-brain mutation.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1"/>
        <w:rPr/>
      </w:pPr>
      <w:r w:rsidDel="00000000" w:rsidR="00000000" w:rsidRPr="00000000">
        <w:rPr>
          <w:rtl w:val="0"/>
        </w:rPr>
        <w:t xml:space="preserve">28. CLIENT CACHING &amp; CONDITIONAL REQUESTS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ETag/If-None-Match may be used for stable resource representations.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Cache-Control is endpoint- and rights-aware.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Private/user-specific responses are never accidentally made public-cacheable.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Market-data caching obeys source latency/rights.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Capabilities/policy-sensitive responses use conservative TTLs and explicit invalidation where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28.1 Cache key safety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Server-side caches include entitlement/jurisdiction/latency class where response content differs. A premium real-time response cannot be served from cache to a delayed-data account.</w:t>
      </w:r>
    </w:p>
    <w:p w:rsidR="00000000" w:rsidDel="00000000" w:rsidP="00000000" w:rsidRDefault="00000000" w:rsidRPr="00000000" w14:paraId="00000241">
      <w:pPr>
        <w:pStyle w:val="Heading1"/>
        <w:rPr/>
      </w:pPr>
      <w:r w:rsidDel="00000000" w:rsidR="00000000" w:rsidRPr="00000000">
        <w:rPr>
          <w:rtl w:val="0"/>
        </w:rPr>
        <w:t xml:space="preserve">29. LOCALISATION &amp; GLOBAL EXPERIENCE</w:t>
      </w:r>
    </w:p>
    <w:tbl>
      <w:tblPr>
        <w:tblStyle w:val="Table4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Controls display strings only; canonical values remain locale-neutral.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Display/convert only when product request says so; original currency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Time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display and quiet-hour preferences; server keeps canonical UTC instants.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Activated locale pack; errors use message_key + localised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Number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Client presentation concern; API decimals use locale-independent syntax.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29.1 Geographic neutrality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No API schema may hard-code UK/US-only identifiers, settlement assumptions, date formats or currencies. Market- and jurisdiction-specific fields are supplied through typed packs/metadata.</w:t>
      </w:r>
    </w:p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30. TESTING &amp; CONTRACT VERIFICATION</w:t>
      </w:r>
    </w:p>
    <w:tbl>
      <w:tblPr>
        <w:tblStyle w:val="Table4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Mandatory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Request/response validation against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Backward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Automated diff for breaking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Cross-account/BOLA, role, capability,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Field/data/action negative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Retry same request; conflicting key/body.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Stale ETag/If-Match.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duplicates/skips under concurrent inserts for cursor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Stable code/status/message-key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STALE/DELAYED/RESTRICTED/UNAVAILABLE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Job lifecycle, cancellation, expiration.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Quota/rate headers and retry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Locales, time zones, regions, currencies.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Injection, mass assignment, oversized payloads, enumeration.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31. PRODUCTION ACCEPTANCE GATES</w:t>
      </w:r>
    </w:p>
    <w:tbl>
      <w:tblPr>
        <w:tblStyle w:val="Table43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public/client endpoints represented in approved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public path reaches internal service/storage without gateway/BFF/auth/policy.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Cross-account/BOLA suite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Rights/policy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Negative tests pass for field/action/jurisdiction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mutation retry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Lost-update protection passes on protected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Canonical error/status mapping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Delayed/stale/unavailable/restricted states correctly represented.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Job lifecycle and failure/cancellation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Automated breaking-change check enforced in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Locale/timezone/currency/Regional Cell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Core launch endpoint p95 targets met at test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Trace/metrics/error dashboards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API-G14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Docs/SDK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Published contract examples and generated clients pass smoke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rPr/>
      </w:pPr>
      <w:r w:rsidDel="00000000" w:rsidR="00000000" w:rsidRPr="00000000">
        <w:rPr>
          <w:rtl w:val="0"/>
        </w:rPr>
        <w:t xml:space="preserve">32. OPEN DECISIONS / BLOCKERS</w:t>
      </w:r>
    </w:p>
    <w:tbl>
      <w:tblPr>
        <w:tblStyle w:val="Table44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Whether the first mobile client uses identical BFF endpoints or a mobile-specific BFF projection.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Which research tasks are synchronous vs async at launch.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AI 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Whether SSE is required at launch for research progress.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Enterprise API/webhook launch timing and minimum contract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Initial per-tier API/rate limits and export quotas.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O-API-06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 unauthenticated instrument/search surface, if any, and data-rights implications.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Rights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33. IMPLEMENTATION SEQUENCE</w:t>
      </w:r>
    </w:p>
    <w:tbl>
      <w:tblPr>
        <w:tblStyle w:val="Table4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P0 — Contract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Naming, envelope, errors, IDs, time/money/unit types, OpenAPI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 lint + CI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P1 — Core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Instruments, issuers, facts, documents, evidence, markets.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AuthZ/rights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P2 — Deterministic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Calculations, comparisons, watchlists, monitoring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Idempotency/concurrency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P3 — Monitoring/research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Alerts, coverage, research tasks, evidence manifests.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Async/degradation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P4 — Commercial/global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Capabilities, subscriptions, export, regional/locale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and entitlement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P5 — Enterprise/deferred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feeds/webhooks if commercially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Contract/security/rights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P6 —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Performance, load, compatibility, SDKs, docs, operational dashboards.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API-G gates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Style w:val="Heading1"/>
        <w:rPr/>
      </w:pPr>
      <w:r w:rsidDel="00000000" w:rsidR="00000000" w:rsidRPr="00000000">
        <w:rPr>
          <w:rtl w:val="0"/>
        </w:rPr>
        <w:t xml:space="preserve">34. TRACEABILITY TO ENGINEERING ESTATE</w:t>
      </w:r>
    </w:p>
    <w:tbl>
      <w:tblPr>
        <w:tblStyle w:val="Table4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product capabilities and journeys exposed through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PLT-ENG-ARCH-003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BFF/gateway/domain topology and global cells.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canonical data types and object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market-data status/freshness/corrections.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PLT-RIGHTS-001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field/action rights and export/API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deterministic calculation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jurisdiction/capability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PLT-MON-001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monitoring resource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evidence/document/citation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research/AI task contract and provider abstraction.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define detailed identity, sessions, RLS/ABAC and API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PLT-QE-001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consolidate contract/performance/security release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define gateway deployment, scaling, SLO and incident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pStyle w:val="Heading1"/>
        <w:rPr/>
      </w:pPr>
      <w:r w:rsidDel="00000000" w:rsidR="00000000" w:rsidRPr="00000000">
        <w:rPr>
          <w:rtl w:val="0"/>
        </w:rPr>
        <w:t xml:space="preserve">35. PROHIBITED ANTI-PATTERNS</w:t>
      </w:r>
    </w:p>
    <w:p w:rsidR="00000000" w:rsidDel="00000000" w:rsidP="00000000" w:rsidRDefault="00000000" w:rsidRPr="00000000" w14:paraId="000002E8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Exposing database table names or internal service names as public resources.</w:t>
      </w:r>
    </w:p>
    <w:p w:rsidR="00000000" w:rsidDel="00000000" w:rsidP="00000000" w:rsidRDefault="00000000" w:rsidRPr="00000000" w14:paraId="000002E9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Trusting client-supplied jurisdiction, entitlement or rights assertions.</w:t>
      </w:r>
    </w:p>
    <w:p w:rsidR="00000000" w:rsidDel="00000000" w:rsidP="00000000" w:rsidRDefault="00000000" w:rsidRPr="00000000" w14:paraId="000002EA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Using binary floating-point JSON numbers for authoritative monetary values.</w:t>
      </w:r>
    </w:p>
    <w:p w:rsidR="00000000" w:rsidDel="00000000" w:rsidP="00000000" w:rsidRDefault="00000000" w:rsidRPr="00000000" w14:paraId="000002EB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Returning null/empty fields to conceal STALE, UNAVAILABLE or RIGHTS_RESTRICTED states.</w:t>
      </w:r>
    </w:p>
    <w:p w:rsidR="00000000" w:rsidDel="00000000" w:rsidP="00000000" w:rsidRDefault="00000000" w:rsidRPr="00000000" w14:paraId="000002EC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Public endpoints that return unrestricted raw vendor payloads.</w:t>
      </w:r>
    </w:p>
    <w:p w:rsidR="00000000" w:rsidDel="00000000" w:rsidP="00000000" w:rsidRDefault="00000000" w:rsidRPr="00000000" w14:paraId="000002ED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Direct client selection of AI provider/model.</w:t>
      </w:r>
    </w:p>
    <w:p w:rsidR="00000000" w:rsidDel="00000000" w:rsidP="00000000" w:rsidRDefault="00000000" w:rsidRPr="00000000" w14:paraId="000002EE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Breaking response schemas without version/deprecation process.</w:t>
      </w:r>
    </w:p>
    <w:p w:rsidR="00000000" w:rsidDel="00000000" w:rsidP="00000000" w:rsidRDefault="00000000" w:rsidRPr="00000000" w14:paraId="000002EF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Offset pagination for rapidly changing alert/event timelines where duplicates/skips matter.</w:t>
      </w:r>
    </w:p>
    <w:p w:rsidR="00000000" w:rsidDel="00000000" w:rsidP="00000000" w:rsidRDefault="00000000" w:rsidRPr="00000000" w14:paraId="000002F0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Mutating monitoring RuleVersions or EvidenceBundles in place.</w:t>
      </w:r>
    </w:p>
    <w:p w:rsidR="00000000" w:rsidDel="00000000" w:rsidP="00000000" w:rsidRDefault="00000000" w:rsidRPr="00000000" w14:paraId="000002F1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Creating duplicate business resources when a client retries a timed-out POST.</w:t>
      </w:r>
    </w:p>
    <w:p w:rsidR="00000000" w:rsidDel="00000000" w:rsidP="00000000" w:rsidRDefault="00000000" w:rsidRPr="00000000" w14:paraId="000002F2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Returning stack traces, SQL errors, provider credentials or internal prompts.</w:t>
      </w:r>
    </w:p>
    <w:p w:rsidR="00000000" w:rsidDel="00000000" w:rsidP="00000000" w:rsidRDefault="00000000" w:rsidRPr="00000000" w14:paraId="000002F3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Treating CORS as authentication.</w:t>
      </w:r>
    </w:p>
    <w:p w:rsidR="00000000" w:rsidDel="00000000" w:rsidP="00000000" w:rsidRDefault="00000000" w:rsidRPr="00000000" w14:paraId="000002F4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Putting business logic only in mobile/web SDKs.</w:t>
      </w:r>
    </w:p>
    <w:p w:rsidR="00000000" w:rsidDel="00000000" w:rsidP="00000000" w:rsidRDefault="00000000" w:rsidRPr="00000000" w14:paraId="000002F5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Using WebSockets because they look real-time when polling/SSE is sufficient.</w:t>
      </w:r>
    </w:p>
    <w:p w:rsidR="00000000" w:rsidDel="00000000" w:rsidP="00000000" w:rsidRDefault="00000000" w:rsidRPr="00000000" w14:paraId="000002F6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Publishing internal event-bus schemas as customer integration contracts.</w:t>
      </w:r>
    </w:p>
    <w:p w:rsidR="00000000" w:rsidDel="00000000" w:rsidP="00000000" w:rsidRDefault="00000000" w:rsidRPr="00000000" w14:paraId="000002F7">
      <w:pPr>
        <w:pStyle w:val="Heading1"/>
        <w:rPr/>
      </w:pPr>
      <w:r w:rsidDel="00000000" w:rsidR="00000000" w:rsidRPr="00000000">
        <w:rPr>
          <w:rtl w:val="0"/>
        </w:rPr>
        <w:t xml:space="preserve">36. ENGINEERING SIGN-OFF STANDARD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PLT-API-001 may be approved only when Product Engineering, Backend Engineering, Trust/Rights, Security, Quality Engineering and Platform Operations can demonstrate that a client can use every launch capability through stable, documented contracts without learning or depending on Talvrin’s internal database, vendor or deployment topology.</w:t>
      </w:r>
    </w:p>
    <w:tbl>
      <w:tblPr>
        <w:tblStyle w:val="Table47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FINAL BUILD PRINCIPLE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The API should make Talvrin easier to evolve, not harder. Internal architecture may change; the client contract should change only when the product meaning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835" w:top="893" w:left="979" w:right="97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4"/>
        <w:szCs w:val="14"/>
        <w:u w:val="none"/>
        <w:shd w:fill="auto" w:val="clear"/>
        <w:vertAlign w:val="baseline"/>
        <w:rtl w:val="0"/>
      </w:rPr>
      <w:t xml:space="preserve">Talvrin • Global Application API &amp; Integration Contract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5"/>
        <w:szCs w:val="15"/>
        <w:u w:val="none"/>
        <w:shd w:fill="auto" w:val="clear"/>
        <w:vertAlign w:val="baseline"/>
        <w:rtl w:val="0"/>
      </w:rPr>
      <w:t xml:space="preserve">PLT-API-001  |  CONFIDENTIAL — INTERNAL  | 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6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4213d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006d7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38517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213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