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 w:cs="Segoe UI" w:eastAsia="Segoe UI"/>
          <w:b/>
          <w:i w:val="0"/>
          <w:caps/>
          <w:color w:val="4F42D8"/>
          <w:sz w:val="16"/>
          <w:spacing w:val="28"/>
        </w:rPr>
        <w:t>INFRASTRUCTURE HANDOVER  ·  ZOIKO GROUP</w:t>
      </w:r>
    </w:p>
    <w:p>
      <w:pPr>
        <w:spacing w:after="80" w:before="0" w:line="240" w:lineRule="auto"/>
      </w:pPr>
      <w:r>
        <w:rPr>
          <w:rFonts w:ascii="Segoe UI" w:hAnsi="Segoe UI" w:cs="Segoe UI" w:eastAsia="Segoe UI"/>
          <w:b/>
          <w:i w:val="0"/>
          <w:color w:val="14141C"/>
          <w:sz w:val="52"/>
        </w:rPr>
        <w:t>Talvrin Production Runbook</w:t>
      </w:r>
    </w:p>
    <w:p>
      <w:pPr>
        <w:spacing w:after="240" w:before="0"/>
      </w:pPr>
      <w:r>
        <w:rPr>
          <w:rFonts w:ascii="Segoe UI" w:hAnsi="Segoe UI" w:cs="Segoe UI" w:eastAsia="Segoe UI"/>
          <w:b w:val="0"/>
          <w:i w:val="0"/>
          <w:color w:val="4A4A5C"/>
          <w:sz w:val="23"/>
        </w:rPr>
        <w:t>Everything needed to stand up the production database and cache for Talvrin on Google Cloud, in order, with the checks that prove it was done correctly.</w:t>
      </w:r>
    </w:p>
    <w:p>
      <w:pPr>
        <w:spacing w:before="40" w:after="200"/>
        <w:pBdr>
          <w:bottom w:val="single" w:sz="6" w:space="1" w:color="E3E3EE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i w:val="0"/>
                <w:caps/>
                <w:color w:val="74748A"/>
                <w:sz w:val="15"/>
              </w:rPr>
              <w:t>FOR</w:t>
            </w:r>
          </w:p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GCP administrator</w:t>
            </w:r>
          </w:p>
        </w:tc>
        <w:tc>
          <w:tcPr>
            <w:tcW w:type="dxa" w:w="2340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i w:val="0"/>
                <w:caps/>
                <w:color w:val="74748A"/>
                <w:sz w:val="15"/>
              </w:rPr>
              <w:t>PRODUCES</w:t>
            </w:r>
          </w:p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Cloud SQL + Memorystore, migrated and verified</w:t>
            </w:r>
          </w:p>
        </w:tc>
        <w:tc>
          <w:tcPr>
            <w:tcW w:type="dxa" w:w="2340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i w:val="0"/>
                <w:caps/>
                <w:color w:val="74748A"/>
                <w:sz w:val="15"/>
              </w:rPr>
              <w:t>TIME</w:t>
            </w:r>
          </w:p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~45 minutes</w:t>
            </w:r>
          </w:p>
        </w:tc>
        <w:tc>
          <w:tcPr>
            <w:tcW w:type="dxa" w:w="2340"/>
            <w:tcMar>
              <w:top w:w="0" w:type="dxa"/>
              <w:left w:w="0" w:type="dxa"/>
              <w:bottom w:w="0" w:type="dxa"/>
              <w:right w:w="120" w:type="dxa"/>
            </w:tcMar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i w:val="0"/>
                <w:caps/>
                <w:color w:val="74748A"/>
                <w:sz w:val="15"/>
              </w:rPr>
              <w:t>POSTGRES</w:t>
            </w:r>
          </w:p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16</w:t>
            </w:r>
          </w:p>
        </w:tc>
      </w:tr>
    </w:tbl>
    <w:p>
      <w:pPr>
        <w:spacing w:after="40"/>
      </w:pPr>
    </w:p>
    <w:p>
      <w:pPr>
        <w:spacing w:before="160" w:after="280"/>
        <w:pBdr>
          <w:bottom w:val="single" w:sz="6" w:space="1" w:color="E3E3EE"/>
        </w:pBdr>
      </w:pPr>
    </w:p>
    <w:p>
      <w:pPr>
        <w:spacing w:before="0" w:after="120"/>
      </w:pPr>
      <w:r>
        <w:rPr>
          <w:rFonts w:ascii="Segoe UI" w:hAnsi="Segoe UI" w:cs="Segoe UI" w:eastAsia="Segoe UI"/>
          <w:b/>
          <w:i w:val="0"/>
          <w:caps/>
          <w:color w:val="4F42D8"/>
          <w:sz w:val="16"/>
          <w:spacing w:val="28"/>
        </w:rPr>
        <w:t>SETTINGS USED THROUGHOUT THIS DOCUMENT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4A4A5C"/>
          <w:sz w:val="20"/>
        </w:rPr>
        <w:t>These three values appear in every command below. If any differs for your project, replace it consistently everywhere — including in Appendix A and B.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shd w:val="clear" w:color="auto" w:fill="EBE9FC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4F42D8"/>
                <w:sz w:val="19"/>
              </w:rPr>
              <w:t>Setting</w:t>
            </w:r>
          </w:p>
        </w:tc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shd w:val="clear" w:color="auto" w:fill="EBE9FC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4F42D8"/>
                <w:sz w:val="19"/>
              </w:rPr>
              <w:t>Value</w:t>
            </w:r>
          </w:p>
        </w:tc>
      </w:tr>
      <w:tr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Project ID</w:t>
            </w:r>
          </w:p>
        </w:tc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14141C"/>
                <w:sz w:val="18"/>
              </w:rPr>
              <w:t>talvrin-prod</w:t>
            </w:r>
          </w:p>
        </w:tc>
      </w:tr>
      <w:tr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Region</w:t>
            </w:r>
          </w:p>
        </w:tc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14141C"/>
                <w:sz w:val="18"/>
              </w:rPr>
              <w:t>europe-west2  (London)</w:t>
            </w:r>
          </w:p>
        </w:tc>
      </w:tr>
      <w:tr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SQL instance name</w:t>
            </w:r>
          </w:p>
        </w:tc>
        <w:tc>
          <w:tcPr>
            <w:tcW w:type="dxa" w:w="468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14141C"/>
                <w:sz w:val="18"/>
              </w:rPr>
              <w:t>talvrin-db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EDD3A6"/>
              <w:left w:val="single" w:sz="24" w:space="0" w:color="9A5B06"/>
              <w:bottom w:val="single" w:sz="6" w:space="0" w:color="EDD3A6"/>
              <w:right w:val="single" w:sz="6" w:space="0" w:color="EDD3A6"/>
            </w:tcBorders>
            <w:tcMar>
              <w:top w:w="150" w:type="dxa"/>
              <w:left w:w="200" w:type="dxa"/>
              <w:bottom w:w="150" w:type="dxa"/>
              <w:right w:w="200" w:type="dxa"/>
            </w:tcMar>
            <w:shd w:val="clear" w:color="auto" w:fill="FDF2E0"/>
          </w:tcPr>
          <w:p>
            <w:pPr>
              <w:spacing w:after="80"/>
            </w:pPr>
            <w:r>
              <w:rPr>
                <w:rFonts w:ascii="Segoe UI" w:hAnsi="Segoe UI" w:cs="Segoe UI" w:eastAsia="Segoe UI"/>
                <w:b/>
                <w:i w:val="0"/>
                <w:color w:val="9A5B06"/>
                <w:sz w:val="21"/>
              </w:rPr>
              <w:t>The region is a legal decision, not a latency one — confirm it before step 3</w:t>
            </w:r>
          </w:p>
          <w:p>
            <w:pPr>
              <w:spacing w:after="0" w:line="276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4A4A5C"/>
                <w:sz w:val="20"/>
              </w:rPr>
              <w:t xml:space="preserve">Talvrin's operations specification ties the region to </w:t>
            </w:r>
            <w:r>
              <w:rPr>
                <w:rFonts w:ascii="Segoe UI" w:hAnsi="Segoe UI" w:cs="Segoe UI" w:eastAsia="Segoe UI"/>
                <w:b/>
                <w:i w:val="0"/>
                <w:color w:val="4A4A5C"/>
                <w:sz w:val="20"/>
              </w:rPr>
              <w:t>data residency and source rights</w:t>
            </w:r>
            <w:r>
              <w:rPr>
                <w:rFonts w:ascii="Segoe UI" w:hAnsi="Segoe UI" w:cs="Segoe UI" w:eastAsia="Segoe UI"/>
                <w:b w:val="0"/>
                <w:i w:val="0"/>
                <w:color w:val="4A4A5C"/>
                <w:sz w:val="20"/>
              </w:rPr>
              <w:t>: where user data may lawfully sit, and where our market-data licences permit processing. London suits a UK gilts and US Treasuries launch; Mumbai (asia-south1) is likely required if Indian exchange data or Indian users are in scope. Changing this later means migrating a live database with downtime, so it should be confirmed by whoever owns the data licences — not chosen for convenience.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01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Create the project and enable billing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Create a project in the Google Cloud console and link a billing account. Nothing below will succeed without billing enabled, even within free tier allowances.</w:t>
      </w: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02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Enable the APIs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All six are needed: the database, the cache, the runtime, secrets, the image registry, and private networking between them.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run once, after `gcloud init`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config set project talvrin-prod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services enable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sqladmin.googleapis.com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redis.googleapis.com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run.googleapis.com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secretmanager.googleapis.com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artifactregistry.googleapis.com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vpcaccess.googleapis.com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03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Create the PostgreSQL instance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The version must be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PostgreSQL 16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— it matches local development and CI, so schema behaviour is identical everywhere. Point-in-time recovery has to be enabled now; switching it on later cannot recover anything from before it was enabled.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sql instances create talvrin-db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--database-version=POSTGRES_16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--region=europe-west2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--tier=db-g1-small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--storage-size=20GB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--storage-auto-increase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--availability-type=ZONAL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--backup-start-time=02:00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--enable-point-in-time-recovery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--maintenance-window-day=SUN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--maintenance-window-hour=3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Consolas" w:hAnsi="Consolas" w:cs="Consolas" w:eastAsia="Consolas"/>
          <w:b w:val="0"/>
          <w:i w:val="0"/>
          <w:color w:val="1E1E2E"/>
          <w:sz w:val="19"/>
        </w:rPr>
        <w:t>db-g1-small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is sized for launch traffic. It can be resized later without recreating the instance; the region cannot.</w:t>
      </w: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04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Create the database and the admin role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Generate a long random password and record it in a password manager — it is needed once more in step 6 and then never again by a human.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sql databases create talvrin --instance=talvrin-db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Migration/owner role. Used only by schema migrations, never by the app.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sql users create talvrin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--instance=talvrin-db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--password='REPLACE_WITH_STRONG_PASSWORD'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05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Create the runtime role — with SQL, not gcloud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E8A39D"/>
              <w:left w:val="single" w:sz="24" w:space="0" w:color="A81F18"/>
              <w:bottom w:val="single" w:sz="6" w:space="0" w:color="E8A39D"/>
              <w:right w:val="single" w:sz="6" w:space="0" w:color="E8A39D"/>
            </w:tcBorders>
            <w:tcMar>
              <w:top w:w="150" w:type="dxa"/>
              <w:left w:w="200" w:type="dxa"/>
              <w:bottom w:w="150" w:type="dxa"/>
              <w:right w:w="200" w:type="dxa"/>
            </w:tcMar>
            <w:shd w:val="clear" w:color="auto" w:fill="FDECEA"/>
          </w:tcPr>
          <w:p>
            <w:pPr>
              <w:spacing w:after="80"/>
            </w:pPr>
            <w:r>
              <w:rPr>
                <w:rFonts w:ascii="Segoe UI" w:hAnsi="Segoe UI" w:cs="Segoe UI" w:eastAsia="Segoe UI"/>
                <w:b/>
                <w:i w:val="0"/>
                <w:color w:val="A81F18"/>
                <w:sz w:val="21"/>
              </w:rPr>
              <w:t>Do not create this role with `gcloud sql users create`</w:t>
            </w:r>
          </w:p>
          <w:p>
            <w:pPr>
              <w:spacing w:after="0" w:line="276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4A4A5C"/>
                <w:sz w:val="20"/>
              </w:rPr>
              <w:t xml:space="preserve">Cloud SQL grants the </w:t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8"/>
              </w:rPr>
              <w:t>cloudsqlsuperuser</w:t>
            </w:r>
            <w:r>
              <w:rPr>
                <w:rFonts w:ascii="Segoe UI" w:hAnsi="Segoe UI" w:cs="Segoe UI" w:eastAsia="Segoe UI"/>
                <w:b w:val="0"/>
                <w:i w:val="0"/>
                <w:color w:val="4A4A5C"/>
                <w:sz w:val="20"/>
              </w:rPr>
              <w:t xml:space="preserve"> role to users it creates. Talvrin's security model depends on the application connecting as a genuinely unprivileged role, because an elevated role undermines the row-level security that isolates one customer's data from another's. Create it with the SQL in Appendix A instead, then prove it worked with the check in step 9.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Connect to the instance as the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user and run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Appendix A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. It creates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talvrin_app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as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NOSUPERUSER NOCREATEDB NOCREATEROLE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and lets it connect. Every other permission is granted by the migrations in step 8, so this must be done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before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them — the first migration grants to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talvrin_app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by name and fails if the role is missing.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sql connect talvrin-db --user=talvrin --database=talvrin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06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Store the connection strings as secrets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Two separate strings. The application only ever receives the unprivileged one; the admin string is used by migrations and nothing else.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CONN="talvrin-prod:europe-west2:talvrin-db"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Runtime - unprivileged role, used by the API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printf '%s' "postgresql+asyncpg://talvrin_app:APP_PASSWORD@/talvrin?host=/cloudsql/$CONN"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| gcloud secrets create talvrin-database-url --data-file=-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Migrations only - owner role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printf '%s' "postgresql+asyncpg://talvrin:ADMIN_PASSWORD@/talvrin?host=/cloudsql/$CONN"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| gcloud secrets create talvrin-admin-database-url --data-file=-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07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Create the Redis cache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ADMIN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Used for sign-in rate limiting and request idempotency. Version 7 is required — the limiter and idempotency keys are written against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redis instances create talvrin-cache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--size=1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--region=europe-west2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--redis-version=redis_7_0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--tier=basic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Cloud Run reaches Memorystore over the VPC, so a connector is required.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gcloud compute networks vpc-access connectors create talvrin-connector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--region=europe-west2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--network=default \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 xml:space="preserve">  --range=10.8.0.0/28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08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Run the schema migrations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TALVRIN DEV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Nine migrations create nine schemas —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identity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reference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market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evidence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calculation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monitoring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governance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commercial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audit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— plus the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btree_gist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extension used by bitemporal exclusion constraints.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The administrator only needs to grant access; the Talvrin developer runs this. Required: Python 3.12 and the repository.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BASH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Terminal 1 - open a secure tunnel to the instance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cloud-sql-proxy talvrin-prod:europe-west2:talvrin-db --port 5433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# Terminal 2 - from backend/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export ADMIN_DATABASE_URL="postgresql+asyncpg://talvrin:ADMIN_PASSWORD@localhost:5433/talvrin"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export DATABASE_URL="postgresql+asyncpg://talvrin_app:APP_PASSWORD@localhost:5433/talvrin"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uv sync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uv run alembic upgrade head</w:t>
            </w:r>
          </w:p>
        </w:tc>
      </w:tr>
    </w:tbl>
    <w:p>
      <w:pPr>
        <w:spacing w:after="80"/>
      </w:pPr>
    </w:p>
    <w:p>
      <w:pPr>
        <w:spacing w:before="400" w:after="120"/>
        <w:keepNext w:val="1"/>
      </w:pPr>
      <w:r>
        <w:rPr>
          <w:rFonts w:ascii="Consolas" w:hAnsi="Consolas" w:cs="Consolas" w:eastAsia="Consolas"/>
          <w:b/>
          <w:i w:val="0"/>
          <w:color w:val="4F42D8"/>
          <w:sz w:val="26"/>
        </w:rPr>
        <w:t xml:space="preserve">09  </w:t>
      </w:r>
      <w:r>
        <w:rPr>
          <w:rFonts w:ascii="Segoe UI" w:hAnsi="Segoe UI" w:cs="Segoe UI" w:eastAsia="Segoe UI"/>
          <w:b/>
          <w:i w:val="0"/>
          <w:color w:val="14141C"/>
          <w:sz w:val="28"/>
        </w:rPr>
        <w:t>Verify — this is the part that matters</w:t>
      </w:r>
      <w:r>
        <w:rPr>
          <w:rFonts w:ascii="Consolas" w:hAnsi="Consolas" w:cs="Consolas" w:eastAsia="Consolas"/>
          <w:b/>
          <w:i w:val="0"/>
          <w:color w:val="74748A"/>
          <w:sz w:val="16"/>
        </w:rPr>
        <w:t xml:space="preserve">   TALVRIN DEV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Run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Appendix B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>. Every query has an expected answer. If any of them disagrees, stop and report it rather than continuing — each one guards something that fails silently and expensively.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4F42D8"/>
          <w:sz w:val="21"/>
        </w:rPr>
        <w:t xml:space="preserve">☐ 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Nine schemas exist</w:t>
      </w:r>
      <w:r>
        <w:rPr>
          <w:rFonts w:ascii="Segoe UI" w:hAnsi="Segoe UI" w:cs="Segoe UI" w:eastAsia="Segoe UI"/>
          <w:b w:val="0"/>
          <w:i w:val="0"/>
          <w:color w:val="74748A"/>
          <w:sz w:val="21"/>
        </w:rPr>
        <w:t xml:space="preserve"> — confirms all migrations ran, not just the first few.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4F42D8"/>
          <w:sz w:val="21"/>
        </w:rPr>
        <w:t xml:space="preserve">☐ 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talvrin_app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 xml:space="preserve"> is not a superuser and holds no elevated role</w:t>
      </w:r>
      <w:r>
        <w:rPr>
          <w:rFonts w:ascii="Segoe UI" w:hAnsi="Segoe UI" w:cs="Segoe UI" w:eastAsia="Segoe UI"/>
          <w:b w:val="0"/>
          <w:i w:val="0"/>
          <w:color w:val="74748A"/>
          <w:sz w:val="21"/>
        </w:rPr>
        <w:t xml:space="preserve"> — the check that catches the Cloud SQL privilege default from step 5.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4F42D8"/>
          <w:sz w:val="21"/>
        </w:rPr>
        <w:t xml:space="preserve">☐ 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 xml:space="preserve">Row-level security is forced on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identity.principal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identity.session</w:t>
      </w:r>
      <w:r>
        <w:rPr>
          <w:rFonts w:ascii="Segoe UI" w:hAnsi="Segoe UI" w:cs="Segoe UI" w:eastAsia="Segoe UI"/>
          <w:b w:val="0"/>
          <w:i w:val="0"/>
          <w:color w:val="74748A"/>
          <w:sz w:val="21"/>
        </w:rPr>
        <w:t xml:space="preserve"> — without FORCE, the table owner silently bypasses every isolation policy.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4F42D8"/>
          <w:sz w:val="21"/>
        </w:rPr>
        <w:t xml:space="preserve">☐ 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 xml:space="preserve">A read as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talvrin_app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 xml:space="preserve"> with no identity context returns zero rows</w:t>
      </w:r>
      <w:r>
        <w:rPr>
          <w:rFonts w:ascii="Segoe UI" w:hAnsi="Segoe UI" w:cs="Segoe UI" w:eastAsia="Segoe UI"/>
          <w:b w:val="0"/>
          <w:i w:val="0"/>
          <w:color w:val="74748A"/>
          <w:sz w:val="21"/>
        </w:rPr>
        <w:t xml:space="preserve"> — proves isolation actually holds, rather than merely being configured.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4F42D8"/>
          <w:sz w:val="21"/>
        </w:rPr>
        <w:t xml:space="preserve">☐ 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 xml:space="preserve">Both authentication lookup functions exist and are executable by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talvrin_app</w:t>
      </w:r>
      <w:r>
        <w:rPr>
          <w:rFonts w:ascii="Segoe UI" w:hAnsi="Segoe UI" w:cs="Segoe UI" w:eastAsia="Segoe UI"/>
          <w:b w:val="0"/>
          <w:i w:val="0"/>
          <w:color w:val="74748A"/>
          <w:sz w:val="21"/>
        </w:rPr>
        <w:t xml:space="preserve"> — sign-in cannot work without them.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4F42D8"/>
          <w:sz w:val="21"/>
        </w:rPr>
        <w:t xml:space="preserve">☐ 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Automated backups and point-in-time recovery are on</w:t>
      </w:r>
      <w:r>
        <w:rPr>
          <w:rFonts w:ascii="Segoe UI" w:hAnsi="Segoe UI" w:cs="Segoe UI" w:eastAsia="Segoe UI"/>
          <w:b w:val="0"/>
          <w:i w:val="0"/>
          <w:color w:val="74748A"/>
          <w:sz w:val="21"/>
        </w:rPr>
        <w:t xml:space="preserve"> — cheap now; impossible to apply retroactively after data loss.</w:t>
      </w:r>
    </w:p>
    <w:p>
      <w:r>
        <w:br w:type="page"/>
      </w:r>
    </w:p>
    <w:p>
      <w:pPr>
        <w:spacing w:after="120" w:before="0"/>
        <w:keepNext w:val="1"/>
      </w:pPr>
      <w:r>
        <w:rPr>
          <w:rFonts w:ascii="Segoe UI" w:hAnsi="Segoe UI" w:cs="Segoe UI" w:eastAsia="Segoe UI"/>
          <w:b/>
          <w:i w:val="0"/>
          <w:color w:val="14141C"/>
          <w:sz w:val="30"/>
        </w:rPr>
        <w:t>Appendix A  ·  Create the runtime role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Run as the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user, connected to the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talvrin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database. Replace the password before running. Safe to re-run.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SQL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The application must NOT be a superuser. A superuser bypasses row-level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security regardless of what the policies say, which would silently remove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the isolation between customer accounts.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DO $$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BEGIN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IF NOT EXISTS (SELECT FROM pg_roles WHERE rolname = 'talvrin_app') THEN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 CREATE ROLE talvrin_app LOGIN PASSWORD 'REPLACE_WITH_APP_PASSWORD'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     NOSUPERUSER NOCREATEDB NOCREATEROLE;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END IF;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END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$$;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GRANT CONNECT ON DATABASE talvrin TO talvrin_app;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Nothing else is granted here, deliberately. The schemas do not exist yet,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and the migrations in step 8 issue every schema and table grant this role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needs. That is also why the role must exist BEFORE the migrations run: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the first migration grants to talvrin_app by name and fails without it.</w:t>
            </w:r>
          </w:p>
        </w:tc>
      </w:tr>
    </w:tbl>
    <w:p>
      <w:pPr>
        <w:spacing w:after="80"/>
      </w:pPr>
    </w:p>
    <w:p>
      <w:pPr>
        <w:spacing w:after="120" w:before="320"/>
        <w:keepNext w:val="1"/>
      </w:pPr>
      <w:r>
        <w:rPr>
          <w:rFonts w:ascii="Segoe UI" w:hAnsi="Segoe UI" w:cs="Segoe UI" w:eastAsia="Segoe UI"/>
          <w:b/>
          <w:i w:val="0"/>
          <w:color w:val="14141C"/>
          <w:sz w:val="30"/>
        </w:rPr>
        <w:t>Appendix B  ·  Verification queries</w:t>
      </w:r>
    </w:p>
    <w:p>
      <w:pPr>
        <w:spacing w:after="160" w:before="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>Run after the migrations. Each query states the answer it must return.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140" w:type="dxa"/>
              <w:left w:w="180" w:type="dxa"/>
              <w:bottom w:w="140" w:type="dxa"/>
              <w:right w:w="180" w:type="dxa"/>
            </w:tcMar>
            <w:shd w:val="clear" w:color="auto" w:fill="F6F6FA"/>
          </w:tcPr>
          <w:p>
            <w:pPr>
              <w:spacing w:after="120"/>
            </w:pPr>
            <w:r>
              <w:rPr>
                <w:rFonts w:ascii="Consolas" w:hAnsi="Consolas" w:cs="Consolas" w:eastAsia="Consolas"/>
                <w:b/>
                <w:i w:val="0"/>
                <w:color w:val="6B6B88"/>
                <w:sz w:val="15"/>
              </w:rPr>
              <w:t>SQL</w:t>
            </w:r>
          </w:p>
          <w:p>
            <w:pPr>
              <w:spacing w:after="0" w:line="269" w:lineRule="auto"/>
            </w:pP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-- 1. Expect exactly 9 rows.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SELECT nspname FROM pg_namespace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WHERE nspname IN ('identity','reference','market','evidence','calculation',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           'monitoring','governance','commercial','audit')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ORDER BY 1;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-- 2. Expect rolsuper = f, rolcreatedb = f, rolcreaterole = f,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   and elevated_roles = {} (an empty array).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SELECT r.rolname, r.rolsuper, r.rolcreatedb, r.rolcreaterole, r.rolbypassrls,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ARRAY(SELECT b.rolname FROM pg_auth_members m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      JOIN pg_roles b ON b.oid = m.roleid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      WHERE m.member = r.oid) AS elevated_roles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FROM pg_roles r WHERE r.rolname = 'talvrin_app';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-- 3. Expect both rows to show rls = t AND forced = t.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SELECT c.relname, c.relrowsecurity AS rls, c.relforcerowsecurity AS forced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FROM pg_class c JOIN pg_namespace n ON n.oid = c.relnamespace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WHERE n.nspname = 'identity' AND c.relname IN ('principal','session');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-- 4. Expect 0. Run this connected AS talvrin_app, in a fresh session with no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   identity context set. A non-zero result means isolation is not holding.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SELECT count(*) FROM identity.principal;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-- 5. Expect 2 rows, each with has_execute = t.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SELECT p.proname,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     has_function_privilege('talvrin_app', p.oid, 'EXECUTE') AS has_execute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FROM pg_proc p JOIN pg_namespace n ON n.oid = p.pronamespace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WHERE n.nspname = 'identity'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 xml:space="preserve">  AND p.proname IN ('lookup_principal_for_auth','lookup_session_by_token')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ORDER BY 1;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-- 6. Expect exactly ONE row, reading b41c7f2ad905. Alembic stores only the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   current head, not the history, so any other value means the upgrade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/>
                <w:color w:val="6B6B88"/>
                <w:sz w:val="17"/>
              </w:rPr>
              <w:t>--    stopped part-way through.</w:t>
            </w:r>
            <w:r>
              <w:br/>
            </w:r>
            <w:r>
              <w:rPr>
                <w:rFonts w:ascii="Consolas" w:hAnsi="Consolas" w:cs="Consolas" w:eastAsia="Consolas"/>
                <w:b w:val="0"/>
                <w:i w:val="0"/>
                <w:color w:val="1E1E2E"/>
                <w:sz w:val="17"/>
              </w:rPr>
              <w:t>SELECT version_num FROM alembic_version;</w:t>
            </w:r>
          </w:p>
        </w:tc>
      </w:tr>
    </w:tbl>
    <w:p>
      <w:pPr>
        <w:spacing w:after="80"/>
      </w:pPr>
    </w:p>
    <w:p>
      <w:pPr>
        <w:spacing w:after="120" w:before="360"/>
        <w:keepNext w:val="1"/>
      </w:pPr>
      <w:r>
        <w:rPr>
          <w:rFonts w:ascii="Segoe UI" w:hAnsi="Segoe UI" w:cs="Segoe UI" w:eastAsia="Segoe UI"/>
          <w:b/>
          <w:i w:val="0"/>
          <w:color w:val="14141C"/>
          <w:sz w:val="30"/>
        </w:rPr>
        <w:t>What this costs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4608"/>
        <w:gridCol w:w="1728"/>
      </w:tblGrid>
      <w:tr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shd w:val="clear" w:color="auto" w:fill="EBE9FC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4F42D8"/>
                <w:sz w:val="19"/>
              </w:rPr>
              <w:t>Resource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shd w:val="clear" w:color="auto" w:fill="EBE9FC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4F42D8"/>
                <w:sz w:val="19"/>
              </w:rPr>
              <w:t>Specification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shd w:val="clear" w:color="auto" w:fill="EBE9FC"/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4F42D8"/>
                <w:sz w:val="19"/>
              </w:rPr>
              <w:t>Monthly</w:t>
            </w:r>
          </w:p>
        </w:tc>
      </w:tr>
      <w:tr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Cloud SQL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db-g1-small, 20 GB SSD, zonal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~$30</w:t>
            </w:r>
          </w:p>
        </w:tc>
      </w:tr>
      <w:tr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Memorystore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Basic tier, 1 GB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~$35</w:t>
            </w:r>
          </w:p>
        </w:tc>
      </w:tr>
      <w:tr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VPC connector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Minimum 2 instances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~$8</w:t>
            </w:r>
          </w:p>
        </w:tc>
      </w:tr>
      <w:tr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Cloud Run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Scales to zero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~$0</w:t>
            </w:r>
          </w:p>
        </w:tc>
      </w:tr>
      <w:tr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Secret Manager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A handful of secrets</w:t>
            </w:r>
          </w:p>
        </w:tc>
        <w:tc>
          <w:tcPr>
            <w:tcW w:type="dxa" w:w="3120"/>
            <w:tcBorders>
              <w:top w:val="single" w:sz="6" w:space="0" w:color="D8D8E6"/>
              <w:left w:val="single" w:sz="6" w:space="0" w:color="D8D8E6"/>
              <w:bottom w:val="single" w:sz="6" w:space="0" w:color="D8D8E6"/>
              <w:right w:val="single" w:sz="6" w:space="0" w:color="D8D8E6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pPr>
              <w:spacing w:after="0"/>
              <w:jc w:val="right"/>
            </w:pPr>
            <w:r>
              <w:rPr>
                <w:rFonts w:ascii="Segoe UI" w:hAnsi="Segoe UI" w:cs="Segoe UI" w:eastAsia="Segoe UI"/>
                <w:b w:val="0"/>
                <w:i w:val="0"/>
                <w:color w:val="14141C"/>
                <w:sz w:val="19"/>
              </w:rPr>
              <w:t>~$0</w:t>
            </w:r>
          </w:p>
        </w:tc>
      </w:tr>
    </w:tbl>
    <w:p>
      <w:pPr>
        <w:spacing w:after="80"/>
      </w:pPr>
    </w:p>
    <w:p>
      <w:pPr>
        <w:spacing w:after="160" w:before="80"/>
      </w:pP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Roughly </w:t>
      </w:r>
      <w:r>
        <w:rPr>
          <w:rFonts w:ascii="Segoe UI" w:hAnsi="Segoe UI" w:cs="Segoe UI" w:eastAsia="Segoe UI"/>
          <w:b/>
          <w:i w:val="0"/>
          <w:color w:val="14141C"/>
          <w:sz w:val="21"/>
        </w:rPr>
        <w:t>$70–75 per month before any traffic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. Cloud SQL and Memorystore bill continuously whether or not anyone uses the platform; the rest is effectively free at demo volumes. For a short-lived demo,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db-f1-micro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 and dropping Memorystore removes about half — but sign-in rate limiting is disabled without Redis, so that trade is acceptable for a demo and not for production.</w:t>
      </w:r>
    </w:p>
    <w:p>
      <w:pPr>
        <w:spacing w:after="120" w:before="320"/>
        <w:keepNext w:val="1"/>
      </w:pPr>
      <w:r>
        <w:rPr>
          <w:rFonts w:ascii="Segoe UI" w:hAnsi="Segoe UI" w:cs="Segoe UI" w:eastAsia="Segoe UI"/>
          <w:b/>
          <w:i w:val="0"/>
          <w:color w:val="14141C"/>
          <w:sz w:val="30"/>
        </w:rPr>
        <w:t>Send back when finished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74748A"/>
          <w:sz w:val="21"/>
        </w:rPr>
        <w:t xml:space="preserve">•  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 xml:space="preserve">The instance connection name, in the form </w:t>
      </w:r>
      <w:r>
        <w:rPr>
          <w:rFonts w:ascii="Consolas" w:hAnsi="Consolas" w:cs="Consolas" w:eastAsia="Consolas"/>
          <w:b w:val="0"/>
          <w:i w:val="0"/>
          <w:color w:val="1E1E2E"/>
          <w:sz w:val="19"/>
        </w:rPr>
        <w:t>project:region:instance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74748A"/>
          <w:sz w:val="21"/>
        </w:rPr>
        <w:t xml:space="preserve">•  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>Confirmation that both secrets exist, by name — not their values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74748A"/>
          <w:sz w:val="21"/>
        </w:rPr>
        <w:t xml:space="preserve">•  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>The Memorystore host and port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74748A"/>
          <w:sz w:val="21"/>
        </w:rPr>
        <w:t xml:space="preserve">•  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>The VPC connector name</w:t>
      </w:r>
    </w:p>
    <w:p>
      <w:pPr>
        <w:spacing w:after="100" w:line="269" w:lineRule="auto"/>
        <w:ind w:left="403" w:hanging="403"/>
      </w:pPr>
      <w:r>
        <w:rPr>
          <w:rFonts w:ascii="Segoe UI" w:hAnsi="Segoe UI" w:cs="Segoe UI" w:eastAsia="Segoe UI"/>
          <w:b/>
          <w:i w:val="0"/>
          <w:color w:val="74748A"/>
          <w:sz w:val="21"/>
        </w:rPr>
        <w:t xml:space="preserve">•  </w:t>
      </w:r>
      <w:r>
        <w:rPr>
          <w:rFonts w:ascii="Segoe UI" w:hAnsi="Segoe UI" w:cs="Segoe UI" w:eastAsia="Segoe UI"/>
          <w:b w:val="0"/>
          <w:i w:val="0"/>
          <w:color w:val="14141C"/>
          <w:sz w:val="21"/>
        </w:rPr>
        <w:t>Output of all six verification queries from Appendix B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6" w:space="0" w:color="D8D8E6"/>
              <w:left w:val="single" w:sz="24" w:space="0" w:color="4F42D8"/>
              <w:bottom w:val="single" w:sz="6" w:space="0" w:color="D8D8E6"/>
              <w:right w:val="single" w:sz="6" w:space="0" w:color="D8D8E6"/>
            </w:tcBorders>
            <w:tcMar>
              <w:top w:w="150" w:type="dxa"/>
              <w:left w:w="200" w:type="dxa"/>
              <w:bottom w:w="150" w:type="dxa"/>
              <w:right w:w="200" w:type="dxa"/>
            </w:tcMar>
            <w:shd w:val="clear" w:color="auto" w:fill="F6F6FA"/>
          </w:tcPr>
          <w:p>
            <w:pPr>
              <w:spacing w:after="80"/>
            </w:pPr>
            <w:r>
              <w:rPr>
                <w:rFonts w:ascii="Segoe UI" w:hAnsi="Segoe UI" w:cs="Segoe UI" w:eastAsia="Segoe UI"/>
                <w:b/>
                <w:i w:val="0"/>
                <w:color w:val="4F42D8"/>
                <w:sz w:val="21"/>
              </w:rPr>
              <w:t>Not covered here, and still required before launch</w:t>
            </w:r>
          </w:p>
          <w:p>
            <w:pPr>
              <w:spacing w:after="0" w:line="276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4A4A5C"/>
                <w:sz w:val="20"/>
              </w:rPr>
              <w:t>This runbook covers data infrastructure only. The application still needs a Cloud Run service, a custom domain, and a decision on routing: the browser and the API must be served from the same domain, or the session cookie becomes a third-party cookie and Safari and Firefox will block sign-in outright. That is an architecture decision, not a configuration flag.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1" w:color="E3E3EE"/>
        </w:pBdr>
      </w:pPr>
    </w:p>
    <w:p>
      <w:pPr>
        <w:spacing w:after="0" w:before="0"/>
      </w:pPr>
      <w:r>
        <w:rPr>
          <w:rFonts w:ascii="Segoe UI" w:hAnsi="Segoe UI" w:cs="Segoe UI" w:eastAsia="Segoe UI"/>
          <w:b w:val="0"/>
          <w:i w:val="0"/>
          <w:color w:val="74748A"/>
          <w:sz w:val="17"/>
        </w:rPr>
        <w:t>Talvrin is a Zoiko Group platform.  Confidential — internal engineering.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Segoe UI" w:hAnsi="Segoe UI" w:eastAsia="Segoe UI"/>
      <w:color w:val="1414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Talvrin Production Runbook</dc:title>
  <dc:subject>GCP production infrastructure provisioning</dc:subject>
  <dc:creator>python-docx</dc:creator>
  <cp:keywords/>
  <dc:description>Step-by-step GCP provisioning runbook for Talvrin's production database and cache, with the SQL and the checks that prove it was done right.</dc:description>
  <cp:lastModifiedBy/>
  <cp:revision>1</cp:revision>
  <dcterms:created xsi:type="dcterms:W3CDTF">2013-12-23T23:15:00Z</dcterms:created>
  <dcterms:modified xsi:type="dcterms:W3CDTF">2013-12-23T23:15:00Z</dcterms:modified>
  <cp:category>INFRA-001</cp:category>
</cp:coreProperties>
</file>