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  <w:tcMar>
              <w:top w:w="300.0" w:type="dxa"/>
              <w:bottom w:w="3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color w:val="ffffff"/>
                <w:sz w:val="60"/>
                <w:szCs w:val="60"/>
                <w:rtl w:val="0"/>
              </w:rPr>
              <w:t xml:space="preserve">ZOIKOTAX™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b28b3e"/>
                <w:sz w:val="30"/>
                <w:szCs w:val="30"/>
                <w:rtl w:val="0"/>
              </w:rPr>
              <w:t xml:space="preserve">EVIDENCE LEDGER, REPLAY, RETENTION &amp; LEGAL 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Global Telecom Tax, Regulatory &amp; Obligation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spacing w:after="80" w:before="2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20"/>
          <w:szCs w:val="20"/>
          <w:rtl w:val="0"/>
        </w:rPr>
        <w:t xml:space="preserve">ZTAX-EVID-001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20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46a73"/>
          <w:sz w:val="18"/>
          <w:szCs w:val="18"/>
          <w:rtl w:val="0"/>
        </w:rPr>
        <w:t xml:space="preserve">Constitutional evidence and historical reproducibility specification</w:t>
      </w:r>
      <w:r w:rsidDel="00000000" w:rsidR="00000000" w:rsidRPr="00000000">
        <w:rPr>
          <w:rtl w:val="0"/>
        </w:rPr>
      </w:r>
    </w:p>
    <w:tbl>
      <w:tblPr>
        <w:tblStyle w:val="Table2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ZTAX-EVID-001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For approval / build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29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CONSTITUTIONAL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Chief Architect, jointly with 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CTO · Chief Content &amp; Regulatory Officer · General Counsel · CISO/DPO for relevant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ZTAX-GOV-001 · ZTAX-PRD-000 · ZTAX-DOM-001 · ZTAX-CONT-001 · ZTAX-SEC-001 · ZTAX-PRIV-001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CONSTITUTIONAL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8"/>
                <w:szCs w:val="18"/>
                <w:rtl w:val="0"/>
              </w:rPr>
              <w:t xml:space="preserve">For any authoritative historical decision, filing, obligation, content release or fiscal record, ZoikoTax must be able to prove WHAT was processed, WHICH approved rules/data were used, WHO/WHAT authorized it, WHEN it was known/effective, WHAT output was produced, and WHETHER the evidence has remained intact — without rewriting the past.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1. Executive Engineering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is a first-class product domain, not an audit log appended after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Historical reproducibility requires pinned inputs, versions, content, configuration, algorithms and evidence — not merely the current database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Tamper-evident means verifiably detectable modification. It does not require blockchain, a globally serialized ledger, or public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cryptographic hash proves integrity only when the corresponding canonical object, lawful retained derivative, or independently retrievable source can be produced and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Committed authoritative history is append-only. Corrections create linked successor, reversal, amendment, restatement or disposition records; they do not overwrite prior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Retention is policy-driven by jurisdiction, purpose, customer contract, assurance/replay needs, privacy and legal hold. No universal statutory period is assumed.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 hold suspends disposition but does not silently expand access rights or data residency.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evidence records provenance and outputs required for governance; private chain-of-thought is never a required or retained evidentiary artifact.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3358190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1 — Evidence architecture: source material is canonicalized, manifested, immutably archived, sealed and replayable.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1.1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This specification governs evidence for tax determination, regulatory revenue classification, responsibility resolution, obligations, fiscal documents, reconciliation, filings, remittance instructions/confirmations, country-pack/content changes, authority acknowledgements, e-invoicing/CTC events, Shadow Assurance, configuration changes and AI-assisted control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1.2 Explicitly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enterprise records-management policy except where mapped into ZoikoTax retention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General-purpose document management or e-discovery unrelated to ZoikoTax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Storage of passwords, signing private keys or regulator credentials inside the evidence ledger.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claim that technical integrity alone establishes legal admissibility in every jurisdiction.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Replacing tax/legal counsel judgments about jurisdiction-specific evidentiary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2. Evidence Record Classes &amp;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257946"/>
            <wp:effectExtent b="0" l="0" r="0" t="0"/>
            <wp:docPr descr="Image: image2.png" id="3" name="image3.png"/>
            <a:graphic>
              <a:graphicData uri="http://schemas.openxmlformats.org/drawingml/2006/picture">
                <pic:pic>
                  <pic:nvPicPr>
                    <pic:cNvPr descr="Image: image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2 — Evidence classes determine storage, minimization, retention and export treatment.</w:t>
      </w:r>
      <w:r w:rsidDel="00000000" w:rsidR="00000000" w:rsidRPr="00000000">
        <w:rPr>
          <w:rtl w:val="0"/>
        </w:rPr>
      </w:r>
    </w:p>
    <w:tbl>
      <w:tblPr>
        <w:tblStyle w:val="Table3"/>
        <w:tblW w:w="10455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E0 — Public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laws, regulations, gazettes, official rate tables, regulator notices, filing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Archive authoritative copy/reference, provenance and content hash; public redistribution still subject to source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E1 — Business /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 legal entities, product mappings, tax settings, elections, exemptions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Versioned business evidence; every authoritative decision points to the effective configuration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E2 — Fiscal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 inputs, invoices, tax decisions, obligations, returns, filings, acknowledgements,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Primary replay/audit evidence; retained under policy and immutable after commit/seal.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E3 — Sensitive Situs / Subscriber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IP/network/device/location/CDR-derived evidence, personal identifiers where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Minimize/derive/tokenize; raw evidence stored only when required for lawful purpose, replay or dispute; stronger 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E4 — Secrets /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private keys, passwords, authority credentials,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Never copied into evidence payloads. Ledger stores credential/key reference, key ID, assurance metadata and use event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ee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HASH-ONLY CAUTION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8"/>
                <w:szCs w:val="18"/>
                <w:rtl w:val="0"/>
              </w:rPr>
              <w:t xml:space="preserve">If raw evidence is deliberately discarded, the retained digest proves only that a specific byte sequence existed when hashed; it does not allow ZoikoTax to reconstruct or substantively inspect that evidence later. DOM/PRIV/LEG must therefore decide whether a lawful retained derivative, secure raw vault, customer-held pointer, or source re-fetch capability is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3. Canonical Evidence Object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Evidence is represented by an immutable EvidenceObject plus an EvidenceManifest that links the object to its source, subject, retention, residency and cryptographic proof.</w:t>
      </w:r>
      <w:r w:rsidDel="00000000" w:rsidR="00000000" w:rsidRPr="00000000">
        <w:rPr>
          <w:rtl w:val="0"/>
        </w:rPr>
      </w:r>
    </w:p>
    <w:tbl>
      <w:tblPr>
        <w:tblStyle w:val="Table4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Normative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Globally unique opaque ID; never derived from customer source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tenant_id / 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Ownership and legal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residency_cell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Physical processing/storage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E0–E4.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SOURCE_SNAPSHOT, INPUT, DECISION, FILING_PAYLOAD, ACKNOWLEDGEMENT, CONFIG_VERSION, CONTENT_APPROVAL,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subject_refs[]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Typed links to transaction/decision/obligation/return/pack/case.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system/authority/customer object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canonicalization_profile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How bytes were normalized before hashing.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content_digest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Algorithm + digest of canonical evidence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content_length / media_type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Integrity and safe rendering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captured_at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System capture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source_observed_at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When source was observed, if 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valid_time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Legal/business validity interval when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Actor/workload, connector, authority/source, import job, chain-of-custody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retention_policy_id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Resolved policy and disposition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legal_hold_refs[]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Zero or more active/released hold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encryption_profile / key_ref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Envelope-encryption metadata; not private key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signature_refs[]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Signatures/seals/timestamp tokens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supersedes / corrects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Lineage without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ACTIVE, SEALED, DISPOSED, TOMBSTONED, QUARANTINED; content bytes immutable once ACTIVE.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3.1 Evidence graph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SUPPORTS — evidence substantiates a decision/obligation/filing.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DERIVED_FROM — a minimized/normalized item derives from source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SUPERSEDES — newer evidence replaces operational use but does not erase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CORRECTS — a correction record identifies an error in a prior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INCLUDED_IN_SEAL — evidence digest is a leaf/member of a signed period seal.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PRODUCED_BY — output tied to engine, content bundle, adapter, workflow or AI invocation.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ACKNOWLEDGES — authority/provider response linked to submitted payload.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RECONCILES_TO — calculated/invoiced/collected/reported/remitted/GL evidence relation.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4. Canonicalization, Hashing, Signatures &amp; Time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4.1 Canonical byte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Every hashed object must declare a canonicalization profile. JSON evidence should use a deterministic canonical representation; RFC 8785 JCS is an appropriate profile where its numeric constraints are compatible. Monetary values that exceed JSON number precision must be represented as canonical strings/typed decimal fields before JCS. Binary documents are hashed as exact bytes; structured internal objects may use deterministic schema serialization.</w:t>
      </w:r>
      <w:r w:rsidDel="00000000" w:rsidR="00000000" w:rsidRPr="00000000">
        <w:rPr>
          <w:rtl w:val="0"/>
        </w:rPr>
      </w:r>
    </w:p>
    <w:tbl>
      <w:tblPr>
        <w:tblStyle w:val="Table5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SHA-256 minimum baseline for new evidence; algorithm ID stored with every digest. Crypto policy must permit migration to stronger/alternative approved hashes without rewriting old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Approved digital-signature profile with key ID, algorithm, certificate/public-key chain and signature time metadata. FIPS 186-5 is a current conventional signature baseline; crypto policy must be algorithm-agile.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Post-quantum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 not force PQ signatures onto all evidence before ecosystem/tooling maturity. Architecture must support dual/hybrid or future re-sealing with FIPS 204 ML-DSA / FIPS 205 SLH-DSA profiles when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Signing keys isolated in HSM/KMS class controls, non-exportable where supported; lifecycle, rotation, revocation, recovery and compromise response follow key-management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Trusted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System time is required for operations; high-assurance seals may additionally obtain RFC 3161-compatible trusted timestamp tokens or equivalent qualified service where contract/regulation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Long-term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Archive verification material needed to validate old signatures/timestamps must be retained or reproducibly retrievable; cryptographic renewal/re-sealing occurs before algorithms/certificates become insufficient for the target retention horizon.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4.2 Why no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A tenant-scoped append-only evidence ledger, immutable object storage, digital signatures, bounded Merkle trees and trusted timestamps provide the required integrity and replay properties without the privacy, deletion, throughput, key-recovery and cross-tenant coupling problems of a blockchain. Blockchain is prohibited unless a later ADR proves a specific legal/customer requirement that these controls cannot satisfy.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5. Period Sealing &amp; Tamper-Evident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3271533"/>
            <wp:effectExtent b="0" l="0" r="0" t="0"/>
            <wp:docPr descr="Image: image3.png" id="2" name="image2.png"/>
            <a:graphic>
              <a:graphicData uri="http://schemas.openxmlformats.org/drawingml/2006/picture">
                <pic:pic>
                  <pic:nvPicPr>
                    <pic:cNvPr descr="Image: image3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3 — Period sealing uses bounded Merkle trees and signatures; there is no single global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5.1 Seal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A seal scope MUST be bounded by tenant, legal entity, residency cell, evidence domain and period/batch. This prevents one tenant, country or storage outage from serializing or blocking unrelated evidence.</w:t>
      </w:r>
      <w:r w:rsidDel="00000000" w:rsidR="00000000" w:rsidRPr="00000000">
        <w:rPr>
          <w:rtl w:val="0"/>
        </w:rPr>
      </w:r>
    </w:p>
    <w:tbl>
      <w:tblPr>
        <w:tblStyle w:val="Table6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Seal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Opaque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 entity/cell/domain/period.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leaf_count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Number of canonical evidence digests.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merkle_root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Root digest and tree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manifest_hash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Hash of ordered seal 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signing_key_ref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Key/certificate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Detached signature over canonical seal envelope.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trusted_timestamp_ref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Optional/required by assurance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previous_seal_ref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Optional continuity link within same scope; not required for global ordering.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created_at / sealed_at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 chronology.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verification_material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Certificate chain/status material or references required for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VALID, SUPERSEDED_BY_RESEAL, COMPROMISED_KEY_REVIEW, INVALID.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5.2 Seal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OPEN — evidence may enter the batch/period.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CUTOFF — no new normal items; late items require adjustment/amendment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SEALED — Merkle root and signature committed; leaf set immutable.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RESEALED — cryptographic renewal adds a new proof over the prior seal/evidence; prior seal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EXCEPTION — compromise or verification failure requires incident/case handling; never silently regenerate the original seal.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6. Historical Replay &amp; Reproducibility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390530"/>
            <wp:effectExtent b="0" l="0" r="0" t="0"/>
            <wp:docPr descr="Image: image4.png" id="5" name="image5.png"/>
            <a:graphic>
              <a:graphicData uri="http://schemas.openxmlformats.org/drawingml/2006/picture">
                <pic:pic>
                  <pic:nvPicPr>
                    <pic:cNvPr descr="Image: image4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9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4 — Replay first verifies the manifest and evidence, then executes a pinned or analytical replay mode.</w:t>
      </w:r>
      <w:r w:rsidDel="00000000" w:rsidR="00000000" w:rsidRPr="00000000">
        <w:rPr>
          <w:rtl w:val="0"/>
        </w:rPr>
      </w:r>
    </w:p>
    <w:tbl>
      <w:tblPr>
        <w:tblStyle w:val="Table7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Replay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Re-execute the original canonical input using the same engine version, rule bundle, datasets, mappings, exemption/version, FX/rounding profile and state snapshot. Expected output hash MUST match, subject to documented platform determinism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VERIFY_ONLY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 not recalculate; verify evidence existence, digests, signatures, seal inclusion, configuration/content lineage and stored output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AS_KNOWN_THEN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Reconstruct what ZoikoTax knew at the original knowledge time where bitemporal content is relevant; used for investigation, not alteration.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CURRENT_LAW_SCENARIO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Run historical facts through current/effective-at-selected-date rules for analysis. Output is explicitly NON-AUTHORITATIVE and cannot overwrite original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AMENDMENT_SIMULATION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Calculate proposed correction/amendment against a closed/previous period. Produces a proposal requiring the appropriate compliance/fiscal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6.1 Replay envelope — minimum pinned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canonical input object hash and schema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engine/runtime version and build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signed tax/regulatory content bundle hash(es)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country/regulatory pack versions and dependency lockfile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jurisdiction/geospatial dataset version and provider/license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 ontology and customer mapping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exemption/certificate/qualification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responsibility policy and legal-entity configuration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FX source/rate/time and rounding/allocation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stateful accumulator snapshot/version and concurrency token where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feature flags that could affect authoritative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manifest hash and period seal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expected authoritative output hash and decision identity</w:t>
      </w:r>
      <w:r w:rsidDel="00000000" w:rsidR="00000000" w:rsidRPr="00000000">
        <w:rPr>
          <w:rtl w:val="0"/>
        </w:rPr>
      </w:r>
    </w:p>
    <w:tbl>
      <w:tblPr>
        <w:tblStyle w:val="Table8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REPLAY IS A PRODUCT SLO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8"/>
                <w:szCs w:val="18"/>
                <w:rtl w:val="0"/>
              </w:rPr>
              <w:t xml:space="preserve">A replay failure caused by missing retained dependencies, incompatible binaries, missing source objects or unverifiable signatures is a production control defect. The platform must monitor replayability continuously, not discover failures during an audit years later.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7. Evidence Requirements by Domain</w:t>
      </w:r>
      <w:r w:rsidDel="00000000" w:rsidR="00000000" w:rsidRPr="00000000">
        <w:rPr>
          <w:rtl w:val="0"/>
        </w:rPr>
      </w:r>
    </w:p>
    <w:tbl>
      <w:tblPr>
        <w:tblStyle w:val="Table9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Minimum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 determination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request, normalized lines, classification refs, jurisdiction evidence, exemption evidence, content/bundle versions, state snapshot, decision output, rounding/allocation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Regulatory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revenue classification, responsibility resolution, obligation basis/period, legal authority, thresholds/accumulators, generated obligation and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transaction, document version, line allocations, commit/credit/refund/rebill/amendment lineage, clearance status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workpaper inputs, return rendering/data file, approvals, submitted bytes/hash, adapter/version, credential reference/use event, receipt/acknowledgement, status transitions, amendments.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authorized payment instruction, amount/currency/account reference, approvals, external execution reference and confirmation; no customer funds or secrets in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E-invoicing / CTC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invoice, mapped authority/network payload, validation results, submission ID, clearance/rejection response, resubmission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Country/content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snapshots, interpretation record, reviewer approvals, golden results, signed pack manifest, bundle hash, deployment/activation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Shadow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normalized customer input, incumbent output/payload hash where permitted, ZoikoTax comparison output, materiality/root-cause classification, analyst 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AI-assisted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use case, model/provider/version, prompt/template version or instruction hash, retrieval/source refs, tool invocation metadata, output hash, confidence/abstention, reviewer disposition. No private chain-of-thought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Security/admin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actor/workload identity, privileged action, authorization context, before/after control metadata where lawful, tamper-evident audit event; never plaintext secrets.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8. Filing, Authority Acknowledgement &amp; Chain of Custody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outbound filing/submission payload is hashed before transmission.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The adapter/network/portal version and transmission attempt ID are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Authority credentials are referenced by credential ID/key alias and use event; plaintext credentials are excluded.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The exact transport outcome is recorded: ACCEPTED, REJECTED, RECEIVED_UNCONFIRMED, TIMEOUT_UNKNOWN, NETWORK_FAILURE, MANUAL_SUBMISSION_ATTESTED, or equivalent governed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retry is a new transmission attempt linked to the same or amended filing; it does not erase the prior uncertain/failed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Authority receipts, confirmation numbers, signed acknowledgements and rejection details are archived with content hash and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Manual portal workflows require operator identity, dual-control where specified, captured submission evidence and attestation/checklist—not fabricated API certainty.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9. Legal Content &amp; Source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ZTAX-CONT-001 governs the content supply chain; this document governs its evidentiary record. Each content change must be reconstructible from authority source through production bundle.</w:t>
      </w:r>
      <w:r w:rsidDel="00000000" w:rsidR="00000000" w:rsidRPr="00000000">
        <w:rPr>
          <w:rtl w:val="0"/>
        </w:rPr>
      </w:r>
    </w:p>
    <w:tbl>
      <w:tblPr>
        <w:tblStyle w:val="Table10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authority/source ID, retrieval method, published/effective date, captured bytes or durable official reference, hash, licence/provenance.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analyst interpretation record, assumptions, affected products/jurisdictions/obligations, ambiguity/escalation.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structured rule change/diff, AI extraction/proposal metadata if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independent reviewer, legal/content approvals, comments/disposition.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golden vectors, regression impact, failed/waived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signed immutable pack/bundle manifest and dependency 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target cells/runtimes, activation time, staged rollout, rollback/suspension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Decision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every authoritative decision references the content bundle(s) that governed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10. Retention, Archival Tiers &amp; Disposition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425806"/>
            <wp:effectExtent b="0" l="0" r="0" t="0"/>
            <wp:docPr descr="Image: image5.png" id="4" name="image4.png"/>
            <a:graphic>
              <a:graphicData uri="http://schemas.openxmlformats.org/drawingml/2006/picture">
                <pic:pic>
                  <pic:nvPicPr>
                    <pic:cNvPr descr="Image: image5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5 — Retention is resolved from record class, legal/customer context, replay needs, privacy and legal 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10.1 Policy resolution precedence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active legal hold or preservation order;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mandatory statutory/regulatory retention;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contractual/customer retention commitment;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audit/assurance and historical replay requirement;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legitimate operational/security requirement;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privacy minimization and deletion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7"/>
          <w:szCs w:val="17"/>
          <w:rtl w:val="0"/>
        </w:rPr>
        <w:t xml:space="preserve">Where requirements conflict, Legal/Privacy owns the resolution; the platform must not silently choose the longest or shortest period.</w:t>
      </w:r>
      <w:r w:rsidDel="00000000" w:rsidR="00000000" w:rsidRPr="00000000">
        <w:rPr>
          <w:rtl w:val="0"/>
        </w:rPr>
      </w:r>
    </w:p>
    <w:tbl>
      <w:tblPr>
        <w:tblStyle w:val="Table11"/>
        <w:tblW w:w="10455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frequent operational/audit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encrypted regional primary store; indexed metadata; immutable committed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occasional replay/compliance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lower-cost immutable storage with retrieval SLO.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long-term preservation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WORM/immutable archive; verification metadata online; restore procedure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DISPOSED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retention satisfied and no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 deleted/anonymized according to policy; tombstone/proof-of-disposition retained if lawful and necessary.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10.2 Disposition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Disposition jobs MUST re-resolve legal holds immediately before deletion.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Deletion must be idempotent and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Disposition of a parent evidence object must evaluate dependency/replay references; dangling evidence proofs are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Cryptographic erase may be used only where key destruction is an approved and verifiable deletion method for that storage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Disposal evidence records what class/range was destroyed, under which policy and job, without retaining the deleted personal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Backups/replicas must age out under documented deletion/retention mechanics; “deleted from primary” is not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11. Legal Hold &amp; Preservation</w:t>
      </w:r>
      <w:r w:rsidDel="00000000" w:rsidR="00000000" w:rsidRPr="00000000">
        <w:rPr>
          <w:rtl w:val="0"/>
        </w:rPr>
      </w:r>
    </w:p>
    <w:tbl>
      <w:tblPr>
        <w:tblStyle w:val="Table12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hold_id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Unique case/hold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Legal/court/regulator/internal investigation/customer contractual hold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 entity/record types/subjects/period/jurisdiction/case.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issued_by / 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Authorized legal/compliance actors.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Hold 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notification_state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Required internal/customer notifications and confidentiality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preservation_actions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Deletion suspension, archive tier pinning, export freeze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access_policy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Hold does not automatically grant access; ordinary least privilege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release_at / released_by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Controlled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release_reason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Case closure/order/authorization.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audit_trail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 scope changes and searches/exports linked to hold.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legal hold applies to records matched by scope even if their normal retention has expired.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Hold scope changes are versioned and effective-dated; prior scope history is immutable.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may be exported for legal review without altering the canonical archive. Export package hashes and chain-of-custody are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Release from hold does not mean immediate deletion; normal retention policy is re-evaluated.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12. Storage, Residency &amp; Isolation Architecture</w:t>
      </w:r>
      <w:r w:rsidDel="00000000" w:rsidR="00000000" w:rsidRPr="00000000">
        <w:rPr>
          <w:rtl w:val="0"/>
        </w:rPr>
      </w:r>
    </w:p>
    <w:tbl>
      <w:tblPr>
        <w:tblStyle w:val="Table13"/>
        <w:tblW w:w="10455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 metadata 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 relational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identity, manifest, relationships, retention/hold, seal membership; storage-layer tenant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Immutable evidence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 WORM-capable object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snapshots, filings, acknowledgements, invoices, signed manifests; object versioning/retention lock as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Replay binaries/artifacts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artifact registry + immutable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engine container/package, rule runtime dependencies, schemas; content-addressable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Analytics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regional/approved aggregate 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not the evidence SoR; rebuildable from governed events/evidence.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Search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 derived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never sole copy; rebuildable; redact/minimize sensitive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Key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 HSM/KMS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private keys never in evidence archive; evidence stores key refs and public verification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Cross-region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approved aggregates/metadata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raw E2/E3 evidence does not centralize merely for convenience.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13. Audit / Customer Evidence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ZoikoTax must generate a self-describing export for an authorized decision, period, filing, pack or case without requiring direct database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package_manifest.json with package ID, scope, generated time, requestor and schema version;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authoritative decision/obligation/filing records;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canonical evidence objects or permitted extracts/pointers;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content/pack manifests and legal-source evidence permitted for export;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configuration/mapping/exemption versions;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seal inclusion proof and signature/timestamp verification material;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replay manifest and verification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chain-of-custody/export audit events;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README human summary explaining verification steps;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redaction report identifying any evidence intentionally withheld under privacy/licensing/security restrictions.</w:t>
      </w:r>
      <w:r w:rsidDel="00000000" w:rsidR="00000000" w:rsidRPr="00000000">
        <w:rPr>
          <w:rtl w:val="0"/>
        </w:rPr>
      </w:r>
    </w:p>
    <w:tbl>
      <w:tblPr>
        <w:tblStyle w:val="Table14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f1eee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EXPORT IS NOT RAW DATABASE DUMP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8"/>
                <w:szCs w:val="18"/>
                <w:rtl w:val="0"/>
              </w:rPr>
              <w:t xml:space="preserve">Evidence packages are policy-filtered, scoped, deterministic exports. They must preserve integrity proofs while enforcing tenant isolation, data minimization, source licensing and privileged-data restrictions.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14. Authorization, Segregation of Duties &amp; Evidence Access</w:t>
      </w:r>
      <w:r w:rsidDel="00000000" w:rsidR="00000000" w:rsidRPr="00000000">
        <w:rPr>
          <w:rtl w:val="0"/>
        </w:rPr>
      </w:r>
    </w:p>
    <w:tbl>
      <w:tblPr>
        <w:tblStyle w:val="Table15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Evidence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 writer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append allowed for owned evidence types; no update/delete of committed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 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read/verify; cannot change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may approve content records; cannot alter archived source snapshots or seals.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Compliance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may attach filing/ack evidence to authorized workflow; cannot rewrite decision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 hold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may create/change/release holds under Legal authorization; no broad content read implied.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Auditor/read-only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scoped evidence export/view; no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Platform/SRE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infrastructure operation; content access requires JIT/break-glass and immutable audit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may read only explicitly authorized/minimized evidence and write proposal/provenance records; no deletion/seal/hold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15. Corrections, Amendments &amp; Evidence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bytes become immutable at commit; metadata that must change is represented as a new version/event unless explicitly designated mutable operational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Incorrect evidence is quarantined or marked CORRECTED_BY; it is not replaced in-place.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corrected tax/fiscal decision creates a new decision linked to the original and corresponding fiscal adjustment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filing amendment links original return, original submission/ack, amendment workpaper, new submission and authority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If a source document is later withdrawn/changed by an authority, the captured historical source remains retained where policy permits, and the content system records the later supersession/withdrawal.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If a signing key is compromised, prior signatures are not silently regenerated. Incident analysis determines affected evidence; surviving independent timestamps/seals are evaluated and re-sealing may establish continuing integrity prospectively.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16. Cryptographic Agility &amp; Long-Term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digest/signature/timestamp stores algorithm and parameter identifiers; no “implicit SHA”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Crypto profiles are configuration/content-independent security policy objects with effective dates and approved/deprecated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Verification must continue to support historical algorithms long enough to validate retained evidence, even after new signing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Re-sealing/renewal adds stronger contemporary proof over existing evidence roots; it never changes original content digests.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Certificate/public-key validation material and revocation/status evidence required for historical verification must be archived or durably referenced.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Post-quantum migration is a planned crypto-agility function, not a reason to prematurely abandon interoperable current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17. Evidence APIs &amp; Domain Events</w:t>
      </w:r>
      <w:r w:rsidDel="00000000" w:rsidR="00000000" w:rsidRPr="00000000">
        <w:rPr>
          <w:rtl w:val="0"/>
        </w:rPr>
      </w:r>
    </w:p>
    <w:tbl>
      <w:tblPr>
        <w:tblStyle w:val="Table16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Create/commit an evidence object under authorized type and idempotency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GET /evidence/{id}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 authorized metadata/content or redacted representation.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/evidence/{id}/verify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Verify content digest, signatures, seal membership and dependency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/replays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replay job with explicit replay mode and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GET /replays/{id}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Replay status/result/evidence.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/period-seals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Close/seal authorized scope; privileged workflow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GET /period-seals/{id}/proof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 inclusion/verification proof.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/legal-holds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hold; Legal authorization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PATCH /legal-holds/{id}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Versioned scope/release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 /evidence-exports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Generate scoped audit/customer package.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pStyle w:val="Heading2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Core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EvidenceCommitted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EvidenceQuarantined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EvidenceCorrectionLinked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EvidenceDispositionEligible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EvidenceDisposed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LegalHoldApplied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LegalHoldScopeChanged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LegalHoldReleased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PeriodCutoffReached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PeriodSealed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PeriodResealed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SealVerificationFailed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ReplayRequested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ReplayCompleted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ReplayMismatchDetected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EvidenceExportGenerated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SigningKeyCompromiseDeclared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18. Failure Semantics &amp; Incident Handling</w:t>
      </w:r>
      <w:r w:rsidDel="00000000" w:rsidR="00000000" w:rsidRPr="00000000">
        <w:rPr>
          <w:rtl w:val="0"/>
        </w:rPr>
      </w:r>
    </w:p>
    <w:tbl>
      <w:tblPr>
        <w:tblStyle w:val="Table17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HASH_MISMATCH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Stored/retrieved bytes do not match manifest digest. Quarantine object, block authoritative export/replay using it, open security/evidence incident.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SIGNATURE_INVALID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Seal/manifest signature fails. Block trust assertion; investigate key/material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MISSING_DEPENDENCY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Replay dependency unavailable. Replay fails closed; never substitute “nearest”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SEAL_INCOMPLETE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Expected eligible evidence not included in seal. Period remains exception state until governed remediation.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RETENTION_CONFLICT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Policy rules conflict or cannot resolve. Hold disposition; escalate Legal/Privacy.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HOLD_SCOPE_UNCERTAIN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Potential legal-hold match cannot be confidently resolved. Preserve rather than delete; escalate.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TIME_SOURCE_DEGRADED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Trusted/system time quality outside profile. Record degraded time assurance; high-assurance sealing may pause.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ARCHIVE_UNAVAILABLE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 bytes unavailable. Authoritative writes/replay degrade according to NFR; no false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KEY_COMPROMISE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Signing key suspected/confirmed compromised. Stop new signatures, rotate, assess evidence, re-seal where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REPLAY_MISMATCH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Exact replay output hash differs. Sev-appropriate correctness incident; original record remains unchanged.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19. Evidence SLOs &amp; Operational Metrics</w:t>
      </w:r>
      <w:r w:rsidDel="00000000" w:rsidR="00000000" w:rsidRPr="00000000">
        <w:rPr>
          <w:rtl w:val="0"/>
        </w:rPr>
      </w:r>
    </w:p>
    <w:tbl>
      <w:tblPr>
        <w:tblStyle w:val="Table18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Metric/control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Target doctrine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 commit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acknowledged authoritative decision is considered durable until its evidence metadata and required evidence bytes/outbox are committed under the defined atomicity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Replayability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100% of production-authoritative decisions must have a complete replay manifest or a registered documented exception that blocks production promotion.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Scheduled verification samples plus complete verification before audit export/period close as defined by assurance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Orphan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Zero unresolved evidence references for EFFECTIVE production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Disposition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Zero deletions with active legal hold; zero unlogged privileged 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 age/freshness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acknowledgements/content source snapshots tracked by type-specific expectations; missing evidence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Restore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Periodic immutable archive restore + verification exercises; frequency set by NFR/SEC.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Cross-tenant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Zero tolerance; any confirmed leak is critical incident.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20. Verification &amp;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Property tests: canonicalization produces invariant bytes; any material byte change changes digest.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Golden tests: manifest + seal creation/verification against fixed vectors.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Mutation tests: corrupt object, manifest, tree node, signature and timestamp; verification must fail deterministically.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Replay tests: exact replay across archived engine/content/config versions reproduces expected hashes.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Retention tests: policy precedence, legal hold race conditions, disposition idempotency and replica 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Concurrency tests: simultaneous evidence commit/seal cutoff/disposition does not lose or double-count leaves.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DR tests: restore evidence metadata/bytes/keys/public verification material and complete replay after regional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tests: privilege escalation, tenant boundary, malicious file/render payload, decompression bombs, path traversal, metadata injection, signing-key misuse.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Privacy tests: E3 minimization/tokenization, export redaction, deletion propagation and legal-hold override.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Long-term crypto tests: verification of archived signatures after key rotation/deprecation; re-seal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21. Normative Requirement Register</w:t>
      </w:r>
      <w:r w:rsidDel="00000000" w:rsidR="00000000" w:rsidRPr="00000000">
        <w:rPr>
          <w:rtl w:val="0"/>
        </w:rPr>
      </w:r>
    </w:p>
    <w:tbl>
      <w:tblPr>
        <w:tblStyle w:val="Table19"/>
        <w:tblW w:w="10452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Normative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All production-authoritative records MUST have a registered evidence 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Committed evidence content MUST be immutable; corrections MUST create linked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External source identifiers MUST NOT be canonical primary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Every evidence object MUST be assigned an evidence class and residency cell.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E4 secrets/credentials MUST NOT be stored as evidence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Every digest MUST record algorithm identity and canonicalization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JSON canonicalization MUST be deterministic; JCS MAY be used when data constraints are compatible.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Authoritative monetary values included in canonical JSON MUST use lossless typed/string representation, not binary floating-point JSON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Domain/Determination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New evidence hashing MUST meet the approved cryptographic profile; SHA-256 is the minimum baseline at v1.0.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Signature keys MUST be managed outside the evidence archive and referenced by key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signatures MUST be verifiable without access to private signing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Crypto algorithms MUST be versioned/effective-dated and support deprecation/migration.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Period seals MUST be scoped so unrelated tenants/legal entities/residency cells do not share a mandatory global ordering dependency.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 sealed leaf set MUST NOT be mutated.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Re-sealing MUST add new proof and MUST NOT alter original evidence digests.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Exact replay MUST use pinned historical dependencies and MUST NOT substitute newer 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Exact replay MUST compare the reproduced authoritative output hash with the stored expected 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Scenario replay outputs MUST be explicitly non-authoritative.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 replay failure due to a missing dependency MUST fail closed.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Every authoritative decision MUST reference engine/runtime and content bundle versions sufficient for replay.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Determination/Obligation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Stateful calculations MUST pin the relevant accumulator/state snapshot/version.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retention MUST be resolved by policy and MUST NOT assume one statutory period globally.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Active legal hold MUST block normal disposition for in-scope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 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 hold MUST NOT by itself grant broader evidence read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Disposition MUST be idempotent and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Disposition MUST re-check legal hold immediately before destructive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Backup/replica deletion behavior MUST be included in retention/disposition 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Platform/SRE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 MUST enforce tenant, privacy, licensing and privilege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 MUST contain a manifest and integrity verification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Filing payloads MUST be hashed before external transmission.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Every filing attempt MUST be a separate immutable transmission-attempt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Unknown filing outcome MUST be represented explicitly and MUST NOT be converted to success without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Authority acknowledgements MUST be linked to the exact submitted payload/attempt where determinable.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Manual filing evidence MUST record operator identity and governed attestation/checklist.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Country/content production releases MUST retain source, interpretation, approval, verification, bundle and deployment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Every authoritative decision MUST link to the content bundle(s) that governed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AI provenance evidence MUST record model/provider/version and source/retrieval references appropriate to the use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ZoikoTax MUST NOT require storage of private AI chain-of-thought as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AI workloads MUST NOT have evidence seal, legal-hold, disposition or authoritative rule-promotion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Security/AI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Shadow evidence MUST preserve comparison provenance without altering production billing.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Search/analytics indexes MUST be rebuildable and MUST NOT be the sole evidence copy.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Raw E2/E3 evidence MUST remain in approved residency cells unless an approved transfer basis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Privacy/Security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metadata storage MUST enforce tenant isolation below the application UI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bytes MUST be encrypted in transit and at rest under the approved security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Privileged evidence access MUST be logged immutably.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Canonical evidence ingestion MUST validate media type, size and malicious-content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manifests MUST reject duplicate/conflicting canonical identities.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graph references MUST preserve referential integrity or explicit tombstone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An evidence object under active dispute/quarantine MUST NOT be silently discarded.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Key compromise MUST stop new signing with the affected key and trigger impact assessment.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Period seal verification failures MUST create an incident/case and block trust assertions for affected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Retention policy changes MUST be versioned and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Legal-hold scope changes MUST be versioned and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Release of legal hold MUST re-evaluate normal retention before deletion.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 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disposition MUST preserve a minimal proof-of-disposition only where lawful/necessary.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Cryptographic erase MUST only be used where the relevant security/privacy policy accepts key destruction as deletion.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Security/Privacy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 evidence packages MUST be reproducible for the same scope/version subject to permitted redactions.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Exports MUST disclose redactions/omissions caused by privacy, licensing or security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Historical verification MUST retain/retrieve public-key/certificate/status material required to validate archived signatures.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Trusted timestamps MUST be supported for assurance profiles that require independent time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System time quality/degradation MUST be observable for evidence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Platform/SRE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No production decision MAY be acknowledged as durable before its required evidence commit boundary is satisfied.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write APIs MUST require idempotency for retryable mutations.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domain events MUST be emitted through a transactional outbox or equivalent atomic pattern.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events MAY be delivered at least once but business effects MUST be idempotent.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Schema evolution MUST preserve readability/verifiability of historical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canonicalization profile changes MUST be versioned and MUST NOT change old digests.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IDs MUST be opaque and globally unique within the ZoikoTax namespace.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Deletion jobs MUST prevent races with hold placement and sealing through concurrency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Sealing MUST have deterministic leaf ordering or an explicitly defined Merkle construction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Seal manifests MUST be canonicalized before hashing/signing.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Seal signatures MUST identify the signing key/profile and verification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 compromised/expired crypto profile MUST be replaceable prospectively without invalidating stored canonical bytes.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Long-term archive policy MUST define cryptographic renewal/re-sealing triggers.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source provenance MUST distinguish authority source, customer source, derived evidence and AI proposal.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Derived evidence MUST retain a DERIVED_FROM link to the source/pointer when lawful and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 hash-only record MUST declare when source bytes are not retained by ZoikoTax.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Customer-held evidence pointers MUST include stable locator/identity and integrity metadata where contract permits.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retrieval permissions MUST be evaluated at request time and MUST not be encoded solely in object URLs.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Presigned/object-access URLs MUST be short-lived and scoped where 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archive restore procedures MUST be tested periodically under NFR-defined cadence.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 binaries/artifacts needed for the retention horizon MUST be archived or reproducibly rebuildable from signed provenance.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Software supply-chain provenance for replay artifacts MUST be retained.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Country-pack suspension MUST preserve historical replayability of earlier authoritative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Content/Evidence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Content withdrawal MUST NOT cause historical source/bundle evidence to disappear while still required for replay/legal 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Content/Evidence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Reconciliation evidence MUST link each reconciled layer to source records and variance disposition.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Fiscal amendments MUST preserve links to original decisions/documents and associated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Customer-config changes affecting tax outcomes MUST create versioned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Product/Domain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Exemption/certificate decisions MUST reference the evidence/version used at decision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Exemptions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Jurisdiction/situs decisions MUST reference the evidence class and resolved evidence digest/pointer 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Sensitive raw situs evidence MUST not be retained by default when a lawful minimized derivative is sufficient.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Retention/legal hold policy resolution conflicts MUST fail safe and be escalated rather than guessed.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Cross-tenant or cross-residency evidence linking MUST be prohibited unless explicitly modeled and authorized.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Security/Domain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package generation MUST be asynchronous for large scopes and MUST expose progress/failure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rendering/viewing MUST sandbox untrusted document formats.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metadata changes designated operationally mutable MUST be separately audited from immutable content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verification MUST be possible independently of current search indexes/analytics stores.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 jobs MUST record requester, purpose, authorization, mode, versions and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 output MUST never mutate the source authoritative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Exact replay mismatch MUST raise a correctness incident and preserve both original and replay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 generation MUST itself create evidence of the export.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Production pack promotion MUST fail if required evidence/golden verification artifacts are absent.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QA/Content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control SLIs MUST be observable and alertable.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There MUST be zero silent evidence fallback from immutable archive to an unverified cached copy.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data models MUST support legal-hold and retention policy changes without rewriting historical decision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This specification MUST be mapped into SEC, PRIV, QA, NFR, COMP, FIN, CONT and AIGOV requirements without restating conflicting normative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Merkle inclusion proofs MUST be verifiable from the stored leaf digest, tree profile and seal root.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Large evidence objects MAY be chunked, but chunking profile and root digest MUST be deterministic and versioned.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Compressed evidence MUST be hashed according to a declared profile that avoids ambiguity between compressed and logical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External timestamps MUST be validated against their trust policy at verification time and the policy/version MUST be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objects imported from customers MUST retain source ingestion job and original integrity metadata where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Bulk imports MUST produce per-object results plus an import-level 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 failed evidence upload MUST NOT leave a committed manifest pointing to absent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commit and authoritative decision commit MUST use an atomic or provably recoverable consistency pattern defined by ARCH/NFR.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Legal-hold searches/exports MUST be recorded as privileged evidence-access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Legal/Security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held beyond normal retention MUST remain subject to data minimization and access-control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Period cutoff exceptions MUST identify the late evidence item, reason, approver and resulting adjustment/amendment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Finance/Compliance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 period seal MUST not imply that the underlying tax filing is legally final unless the compliance state separately establishes finality.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verification APIs MUST return structured reason codes rather than a single boolean.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Verification status MUST distinguish integrity failure, trust-policy failure, missing dependency and authorization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The evidence archive MUST support versioned malware scanning/render isolation without modifying canonical original bytes.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Source licence restrictions MUST be enforceable in evidence export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Content/Legal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Public legal-source evidence MUST still carry provenance and retrieval time even when no confidentiality applies.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aliases/display names MUST NOT be used as integrity identifiers.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Clock synchronization sources and tolerated skew MUST be defined by NFR/SEC for authoritative evidence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SRE/Security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retention policy resolution MUST be reproducible from versioned policy inputs.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Privacy/Legal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destruction MUST not delete shared content required by other active tenants/legal entities unless storage is physically deduplicated with reference-safe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Physical deduplication, if used, MUST not weaken tenant isolation, retention or legal-hold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Evidence encryption key rotation MUST not change content digests.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Customer-managed keys, where offered, MUST define hold/replay behavior if the customer revokes or destroys a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Security/Legal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ZTAX-EVID-REQ-0131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The platform MUST distinguish integrity proof from legal admissibility in user-facing language and audit exports.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Legal/Product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keepNext w:val="0"/>
        <w:spacing w:after="80" w:before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6"/>
          <w:szCs w:val="16"/>
          <w:rtl w:val="0"/>
        </w:rPr>
        <w:t xml:space="preserve">Total normative requirements: 131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22. Mandatory Architecture Decision Records</w:t>
      </w:r>
      <w:r w:rsidDel="00000000" w:rsidR="00000000" w:rsidRPr="00000000">
        <w:rPr>
          <w:rtl w:val="0"/>
        </w:rPr>
      </w:r>
    </w:p>
    <w:tbl>
      <w:tblPr>
        <w:tblStyle w:val="Table20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Decision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Canonicalization profiles per evidence media/schema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 commit atomicity boundary with authoritative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object-store/WORM technology and retention-lock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Merkle tree construction, leaf ordering and seal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Signing algorithm/profile, HSM/KMS model and key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Trusted timestamp assurance profiles and providers.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Long-term cryptographic renewal / post-quantum transition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Replay artifact retention/rebuild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 metadata SoR and tenant isolation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Retention policy engine and legal-hold race-control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Sensitive situs evidence minimization/vault/customer-pointer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Audit export package format and independent verifier tooling.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Large-object chunking/deduplication policy, if any.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Cross-region evidence aggregate/metadata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ADR-EVID-015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Manual filing evidence capture and attestation mechanism.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23. Engineering Handoff — First Implementation Backlog</w:t>
      </w:r>
      <w:r w:rsidDel="00000000" w:rsidR="00000000" w:rsidRPr="00000000">
        <w:rPr>
          <w:rtl w:val="0"/>
        </w:rPr>
      </w:r>
    </w:p>
    <w:tbl>
      <w:tblPr>
        <w:tblStyle w:val="Table21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Backlog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Define EvidenceObject/EvidenceManifest schemas and IDs; implement append-only metadata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canonicalization/digest library as a shared, versioned package with golden vectors.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regional immutable evidence object store with encryption and tenant-scoped paths/keys.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evidence commit/outbox consistency path for one reference decision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evidence verification API and CLI/library.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period-seal prototype with deterministic Merkle profile and HSM/KMS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exact replay envelope for one native decision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retention policy schema and legal-hold object; destructive disposition remains disabled until Legal/Privacy signoff.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access-control matrix and immutable privileged evidence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audit evidence package exporter + independent verification utility.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filing submission/ack evidence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content-pack evidence chain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AI provenance evidence according to AIGOV.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archive restore/replay DR exercise.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crypto profile registry, rotation and re-seal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trusted timestamp service profile where assurance/customer requirements justify.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post-quantum/hybrid signature experiment behind crypto-agility interface; no production mandate until security ADR approves.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24. Standards &amp; Reference Baseline</w:t>
      </w:r>
      <w:r w:rsidDel="00000000" w:rsidR="00000000" w:rsidRPr="00000000">
        <w:rPr>
          <w:rtl w:val="0"/>
        </w:rPr>
      </w:r>
    </w:p>
    <w:tbl>
      <w:tblPr>
        <w:tblStyle w:val="Table22"/>
        <w:tblW w:w="10455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Official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NIST FIPS 180-4 — Secure Hash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Defines SHA-2 family including SHA-256; NIST notes it is planned for revision. ZoikoTax therefore records algorithm IDs and keeps hash policy crypto-agile.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https://csrc.nist.gov/pubs/fips/180-4/upd1/final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NIST FIPS 186-5 — Digital Signature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Current conventional digital-signature baseline; digital signatures detect unauthorized modification and authenticate signatory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https://csrc.nist.gov/pubs/fips/186-5/final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NIST SP 800-57 Part 1 Rev.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Key-management guidance for cryptographic keying material, lifecycle and protection.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https://csrc.nist.gov/pubs/sp/800/57/pt1/r5/final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NIST FIPS 204 / FIPS 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Post-quantum ML-DSA and SLH-DSA signature standards, approved August 2024; relevant to long-term crypto agility, not an automatic v1 signing mandate.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https://csrc.nist.gov/pubs/fips/204/final ; https://csrc.nist.gov/pubs/fips/205/final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RFC 8785 — JSON Canonicalization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Defines an invariant JSON representation suitable for repeatable hashing/signing when data constraints are compatible.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https://www.rfc-editor.org/rfc/rfc8785.html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RFC 3161 — Time-Stamp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Defines TSA request/response protocol used to prove that data existed before a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https://www.rfc-editor.org/rfc/rfc3161.html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RFC 4998 / RFC 6283 — Evidence Record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Long-term evidence-record concepts including archive timestamps/hash trees. ZoikoTax uses these as design references, not a claim of protocol conformance unless separately implemented/tested.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https://www.rfc-editor.org/info/rfc4998/ ; https://www.rfc-editor.org/info/rfc6283/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NIST SP 800-53 Rev. 5 / current control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Reference for audit/accountability, integrity, access and contingency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https://csrc.nist.gov/publications/sp800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25. EFFECTIVE / Production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schemas and relationship constraints approved and versioned.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Canonicalization/digest golden vectors green across supported languages/runtimes.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commit consistency demonstrated under crash/retry/duplicate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Immutable storage, tenant isolation, encryption and privileged access controls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Period sealing and independent verification tool pass golden/mutation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Exact replay succeeds for representative authoritative decision types using archived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Retention and legal-hold policy model approved by Legal/Privacy; destructive disposition tested but gated.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Archive restore + verification + replay DR exercise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Filing/content/AI/Shadow evidence integrations satisfy their delegated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 P0 requirement or ADR unresolved; waivers are explicitly approved, scoped and expiring.</w:t>
      </w:r>
      <w:r w:rsidDel="00000000" w:rsidR="00000000" w:rsidRPr="00000000">
        <w:rPr>
          <w:rtl w:val="0"/>
        </w:rPr>
      </w:r>
    </w:p>
    <w:tbl>
      <w:tblPr>
        <w:tblStyle w:val="Table23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6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PRODUCTION BLOCKER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8"/>
                <w:szCs w:val="18"/>
                <w:rtl w:val="0"/>
              </w:rPr>
              <w:t xml:space="preserve">ZoikoTax MUST NOT claim historical reproducibility, audit-grade evidence, or immutable decision lineage for a capability until that capability can generate, verify, retain and replay the evidence mandated by this standard.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pStyle w:val="Heading1"/>
        <w:keepNext w:val="0"/>
        <w:spacing w:after="8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24"/>
        <w:tblW w:w="10452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Chief Technology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Chief Information Security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Data Protection Officer / Privacy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keepNext w:val="0"/>
        <w:spacing w:after="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646a73"/>
          <w:sz w:val="14"/>
          <w:szCs w:val="14"/>
          <w:rtl w:val="0"/>
        </w:rPr>
        <w:t xml:space="preserve">End of ZTAX-EVID-001 v1.0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749" w:top="792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10368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00"/>
      <w:gridCol w:w="3168"/>
      <w:gridCol w:w="3600"/>
      <w:tblGridChange w:id="0">
        <w:tblGrid>
          <w:gridCol w:w="3600"/>
          <w:gridCol w:w="3168"/>
          <w:gridCol w:w="36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88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2"/>
              <w:szCs w:val="12"/>
              <w:rtl w:val="0"/>
            </w:rPr>
            <w:t xml:space="preserve">CONFIDENTIAL · CONSTITUTIONAL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89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2"/>
              <w:szCs w:val="12"/>
              <w:rtl w:val="0"/>
            </w:rPr>
            <w:t xml:space="preserve">ZoikoTax™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8A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color w:val="646a73"/>
              <w:sz w:val="12"/>
              <w:szCs w:val="12"/>
              <w:rtl w:val="0"/>
            </w:rPr>
            <w:t xml:space="preserve">29 August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10368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344"/>
      <w:gridCol w:w="3024"/>
      <w:tblGridChange w:id="0">
        <w:tblGrid>
          <w:gridCol w:w="7344"/>
          <w:gridCol w:w="302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84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4"/>
              <w:szCs w:val="14"/>
              <w:rtl w:val="0"/>
            </w:rPr>
            <w:t xml:space="preserve">ZOIKOTAX™  |  EVIDENCE &amp; REPLAY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85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4"/>
              <w:szCs w:val="14"/>
              <w:rtl w:val="0"/>
            </w:rPr>
            <w:t xml:space="preserve">ZTAX-EVID-001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42b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7a1f3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20" w:lineRule="auto"/>
    </w:pPr>
    <w:rPr>
      <w:rFonts w:ascii="Aptos" w:cs="Aptos" w:eastAsia="Aptos" w:hAnsi="Aptos"/>
      <w:b w:val="1"/>
      <w:bCs w:val="1"/>
      <w:color w:val="20242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rFonts w:ascii="Aptos" w:cs="Aptos" w:eastAsia="Aptos" w:hAnsi="Aptos"/>
      <w:b w:val="1"/>
      <w:bCs w:val="1"/>
      <w:color w:val="126a6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20" w:line="240" w:lineRule="auto"/>
    </w:pPr>
    <w:rPr>
      <w:rFonts w:ascii="Play" w:cs="Play" w:eastAsia="Play" w:hAnsi="Play"/>
      <w:b w:val="1"/>
      <w:bCs w:val="1"/>
      <w:color w:val="20242b"/>
      <w:sz w:val="50"/>
      <w:szCs w:val="50"/>
    </w:rPr>
  </w:style>
  <w:style w:type="paragraph" w:styleId="Subtitle">
    <w:name w:val="Subtitle"/>
    <w:basedOn w:val="Normal"/>
    <w:next w:val="Normal"/>
    <w:pPr>
      <w:keepNext w:val="1"/>
      <w:spacing w:after="80" w:before="120" w:lineRule="auto"/>
    </w:pPr>
    <w:rPr>
      <w:rFonts w:ascii="Aptos" w:cs="Aptos" w:eastAsia="Aptos" w:hAnsi="Aptos"/>
      <w:b w:val="0"/>
      <w:bCs w:val="0"/>
      <w:i w:val="1"/>
      <w:iCs w:val="1"/>
      <w:color w:val="646a73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