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  <w:tcMar>
              <w:top w:w="260.0" w:type="dxa"/>
              <w:bottom w:w="26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color w:val="ffffff"/>
                <w:sz w:val="58"/>
                <w:szCs w:val="58"/>
                <w:rtl w:val="0"/>
              </w:rPr>
              <w:t xml:space="preserve">ZOIKOTAX™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b28b3e"/>
                <w:sz w:val="29"/>
                <w:szCs w:val="29"/>
                <w:rtl w:val="0"/>
              </w:rPr>
              <w:t xml:space="preserve">SECURITY, IAM, TENANT ISOLATION &amp; RESIDENCY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Global Security Constitution for a Tier-1 Telecom Tax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spacing w:after="60" w:before="24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20"/>
          <w:szCs w:val="20"/>
          <w:rtl w:val="0"/>
        </w:rPr>
        <w:t xml:space="preserve">ZTAX-SEC-001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8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66c75"/>
          <w:sz w:val="18"/>
          <w:szCs w:val="18"/>
          <w:rtl w:val="0"/>
        </w:rPr>
        <w:t xml:space="preserve">Constitutional security and data-isolation specification</w:t>
      </w:r>
      <w:r w:rsidDel="00000000" w:rsidR="00000000" w:rsidRPr="00000000">
        <w:rPr>
          <w:rtl w:val="0"/>
        </w:rPr>
      </w:r>
    </w:p>
    <w:tbl>
      <w:tblPr>
        <w:tblStyle w:val="Table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ZTAX-SEC-001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CONSTITUTIONAL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29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Chief Information Security Officer, jointly with CTO / Chief 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CISO · CTO · Chief Architect · DPO · General Counsel · CCRO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All ZoikoTax SaaS, regional execution cells, private/VPC/edge runtimes, admin/support systems, APIs, data stores, AI services, country packs, integrations and production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SECURITY CONSTITUTION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security is identity-, resource- and data-centric. Network location never grants trust. Every request is authenticated, explicitly authorized, tenant/legal-entity scoped, regionally policy-checked and auditable. No application bug, support workflow, AI subsystem or shared infrastructure component may create an implicit path across customer boundaries.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This specification fixes the security boundaries that would be prohibitively expensive to retrofit after production fiscal/evidence data exists. It defines controls, not vendor products; technology choices may change only if the control objective remains demonstrably satisfied.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Security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Zero implicit trust: authenticate and authorize user, workload and device/context before protected-resource access; network position alone confers no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Tenant isolation is a storage and authorization invariant, not an application coding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Least privilege is continuous: permissions are purpose-, scope-, time- and environment-bounded.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Authoritative fiscal data and evidence receive stronger controls than ordinary product telemetry.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Regional residency is enforced across primary data, replicas, backups, logs, search, analytics, AI/vector stores and support workflows—not only the primary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Workload identities are short-lived and cryptographic; long-lived shared service credentials are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Privileged human access is just-in-time, strongly authenticated, approved where required, attributable and fully logged.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secrets, keys and tax-authority credentials never enter source control, tickets, chat, analytics or ordinary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controls must fail closed for authoritative operations when identity, policy, key, residency or tenant context cannot be established.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evidence must be sufficient for incident response, customer assurance, SOC 1/SOC 2/ISO audits and forensic reconstruction without exposing unrelated tenants.</w:t>
      </w:r>
      <w:r w:rsidDel="00000000" w:rsidR="00000000" w:rsidRPr="00000000">
        <w:rPr>
          <w:rtl w:val="0"/>
        </w:rPr>
      </w:r>
    </w:p>
    <w:tbl>
      <w:tblPr>
        <w:tblStyle w:val="Table3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f1ee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CRITICAL INVARIANT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A missing tenant filter in application code must not be enough to expose another tenant's tax, filing, customer, evidence or commercial data. The storage/data-access layer and authorization policy must independently enforce the tenant boundary.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Scope &amp; Security Boundaries</w:t>
      </w:r>
      <w:r w:rsidDel="00000000" w:rsidR="00000000" w:rsidRPr="00000000">
        <w:rPr>
          <w:rtl w:val="0"/>
        </w:rPr>
      </w:r>
    </w:p>
    <w:tbl>
      <w:tblPr>
        <w:tblStyle w:val="Table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Explicitly separate / delegated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Workforce/customer identities, federation, MFA and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Privacy lawful basis/data minimization — ZTAX-PRIV-001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Service/workload identities and mTLS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Detailed platform SLO/DR targets — ZTAX-NFR-001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RBAC/ABAC/SoD and policy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AI model governance — ZTAX-AIGOV-001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Tenant/legal-entity/environment/residency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Content licensing rights — ZTAX-SRC-001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Encryption, keys, secrets, HSM/KMS and credential vaults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Evidence retention/legal hold — ZTAX-EVID-001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Network/API/egress controls and private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Detailed CI/CD operations — ZTAX-DEVOPS-001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Secure SDLC and software supply chain control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Country-specific privacy transfer opinions — ZTAX-PRIV/LEG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Logging, SIEM, detection, incident and forensic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Business continuity ownership — NFR/DEVOPS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Private/VPC/edge security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 endpoint/device management outside Zoiko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Trust Model &amp; Security Zones</w:t>
      </w:r>
      <w:r w:rsidDel="00000000" w:rsidR="00000000" w:rsidRPr="00000000">
        <w:rPr>
          <w:rtl w:val="0"/>
        </w:rPr>
      </w:r>
    </w:p>
    <w:tbl>
      <w:tblPr>
        <w:tblStyle w:val="Table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Z0 — Public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Internet-facing DNS/CDN/WAF/API ingress; contains no authoritative tenant datastore.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Z1 — Global 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Tenant metadata, routing, entitlement metadata and signed-content distribution; no unrestricted raw transactional centralization.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Z2 — Regional Execution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tenant transaction, tax, obligation, filing, evidence and operational data for assigned residency scopes.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Z3 — Security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Identity, policy, KMS/HSM, secrets, SIEM/security telemetry and security administration.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Z4 — Content Build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Legal-content source ingestion, rule compilation, signing and pack release with four-eyes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Z5 — AI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Model gateway/RAG/evaluation with explicit data-policy mediation; no bypass of authoritative fiscal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Z6 — Admin/Support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Hardened workforce access, JIT elevation and audited support tooling.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Z7 — Private/Customer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 VPC/on-prem/edge execution under separately defined trust/operational responsibility.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Cross-zone communication requires authenticated workload identity, explicit policy and encrypted transport. Shared network membership is never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Canonical Security Context</w:t>
      </w:r>
      <w:r w:rsidDel="00000000" w:rsidR="00000000" w:rsidRPr="00000000">
        <w:rPr>
          <w:rtl w:val="0"/>
        </w:rPr>
      </w:r>
    </w:p>
    <w:tbl>
      <w:tblPr>
        <w:tblStyle w:val="Table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Human/service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actor_type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WORKFORCE / CUSTOMER_USER / SERVICE / PARTNER / AUTOMATION / BREAK_GLASS.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Mandatory for tenant-scoped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Mandatory where resource ownership/authority is legal-entity 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environment_id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 / STAGE / TEST / DEV / PRIVATE.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cell_id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residency/execution cell.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session_id / 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Traceability and 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assurance_level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Authentication/federation assurance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device_posture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Where workforce/device policy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Coarse granted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Jurisdiction, business unit, support assignment, data class, pack scope,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Business purpose/support case/incident/change where privileged.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delegation_chain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Act-as/support/customer-delegation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request_id / 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Security/audit correlation.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policy_version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Exact authorization policy bundle used.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42b"/>
          <w:sz w:val="14"/>
          <w:szCs w:val="14"/>
          <w:u w:val="none"/>
          <w:shd w:fill="auto" w:val="clear"/>
          <w:vertAlign w:val="baseline"/>
          <w:rtl w:val="0"/>
        </w:rPr>
        <w:t xml:space="preserve">SecurityContext {</w:t>
        <w:br w:type="textWrapping"/>
        <w:t xml:space="preserve">  actor_id,</w:t>
        <w:br w:type="textWrapping"/>
        <w:t xml:space="preserve">  actor_type,</w:t>
        <w:br w:type="textWrapping"/>
        <w:t xml:space="preserve">  tenant_id,</w:t>
        <w:br w:type="textWrapping"/>
        <w:t xml:space="preserve">  legal_entity_id?,</w:t>
        <w:br w:type="textWrapping"/>
        <w:t xml:space="preserve">  environment_id,</w:t>
        <w:br w:type="textWrapping"/>
        <w:t xml:space="preserve">  cell_id,</w:t>
        <w:br w:type="textWrapping"/>
        <w:t xml:space="preserve">  assurance_level,</w:t>
        <w:br w:type="textWrapping"/>
        <w:t xml:space="preserve">  roles[],</w:t>
        <w:br w:type="textWrapping"/>
        <w:t xml:space="preserve">  attributes{},</w:t>
        <w:br w:type="textWrapping"/>
        <w:t xml:space="preserve">  purpose?,</w:t>
        <w:br w:type="textWrapping"/>
        <w:t xml:space="preserve">  delegation_chain[],</w:t>
        <w:br w:type="textWrapping"/>
        <w:t xml:space="preserve">  policy_version,</w:t>
        <w:br w:type="textWrapping"/>
        <w:t xml:space="preserve">  request_id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Human Identity &amp;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and workforce identities use standards-based federation where feasible; local passwords are a compatibility path, not the preferred enterprise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OIDC/OAuth authorization flows follow current OAuth 2.0 security BCP practices, including exact redirect URI matching and avoidance of deprecated/insecure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Privileged workforce accounts require phishing-resistant MFA; passkeys/WebAuthn or equivalent hardware-backed authenticators are preferred.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Password-only access is prohibited for privileged roles and 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Recovery must not be weaker than the protected authenticator; privileged recovery requires enhanced identity verification and auditable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Enterprise SSO federation supports OIDC/SAML where required; federation metadata/certificates are versioned and expiry-monitored.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SCIM or equivalent lifecycle automation is preferred for enterprise provisioning/deprovisioning.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Authentication policy can step up based on data sensitivity/action (e.g., filing approval, export, credential reveal, break-glass).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Suspended/terminated workforce identity revocation target is immediate through the identity control plane; cached authorization has short bounded TTL.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5.1 Authentication assurance</w:t>
      </w:r>
      <w:r w:rsidDel="00000000" w:rsidR="00000000" w:rsidRPr="00000000">
        <w:rPr>
          <w:rtl w:val="0"/>
        </w:rPr>
      </w:r>
    </w:p>
    <w:tbl>
      <w:tblPr>
        <w:tblStyle w:val="Table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Minimum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Ordinary customer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MFA supported; tenant may enforce MFA/SSO.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MFA required; phishing-resistant preferred; step-up for high-risk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Zoiko workforce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SSO + MFA; managed device for production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Production privileged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Phishing-resistant MFA + JIT + managed compliant device + approval/purpose.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Break-glass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Dedicated non-routine identity, hardware-bound MFA, dual notification, post-use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Service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Non-human cryptographic workload identity; no human password/API-key impersonation.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OAuth, OIDC, API Client &amp; Session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Authorization Code + PKCE is the default browser/native interactive pattern; implicit grant is not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Public clients do not hold client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Confidential machine clients use private-key/JWT, mTLS, workload identity or equivalent stronger mechanism rather than static shared secrets where practicable.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Access tokens are audience- and scope-restricted, short-lived and never accepted for unintended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Refresh tokens are sender/concurrency controlled and revocable; rotation/reuse detection is required where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OAuth redirect URIs use exact registered matching except standards-defined localhost native-app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Open redirectors are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Bearer tokens are never written to URLs, logs or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API keys, where unavoidable for compatibility, are tenant-scoped, hashed at rest, displayed once, rotatable, expiry-capable and inferior to OAuth/workload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Sessions are invalidated on credential reset, user disablement, material role reduction or high-risk security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Cookie-based sessions use secure, HttpOnly, SameSite-appropriate protections and CSRF defenses.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Workload Identity &amp; Service-to-Service Trust</w:t>
      </w:r>
      <w:r w:rsidDel="00000000" w:rsidR="00000000" w:rsidRPr="00000000">
        <w:rPr>
          <w:rtl w:val="0"/>
        </w:rPr>
      </w:r>
    </w:p>
    <w:tbl>
      <w:tblPr>
        <w:tblStyle w:val="Table8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NO SHARED SERVICE SECRETS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Production service-to-service authentication shall use short-lived workload identity. Static shared passwords/keys between services are prohibited except temporary documented compatibility exceptions.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Use a SPIFFE/SVID-class workload identity model or an equivalent architecture that issues verifiable short-lived identities to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X.509 workload identities are preferred for mTLS service communication; JWT-style workload tokens are used only where protocol/topology requires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Trust domains align with environment and administrative trust boundaries; production and non-production never share trust roots.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Service authorization uses workload identity + intended audience/service + tenant context, not source IP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Certificate/key rotation is automated and shorter-lived than human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Workload identity issuance is tied to attested runtime identity (or equivalent cloud workload identity), not arbitrary application-supplied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Federation between cells/clouds is explicit and least-privilege; no global wildcard service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 Authorization, RBAC, ABAC &amp; Segregation of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Authorization uses layered RBAC + ABAC with relationship/delegation context where necessary. RBAC grants coarse job functions; ABAC constrains tenant, legal entity, jurisdiction, environment, data class, action, support assignment, time and purpose.</w:t>
      </w:r>
      <w:r w:rsidDel="00000000" w:rsidR="00000000" w:rsidRPr="00000000">
        <w:rPr>
          <w:rtl w:val="0"/>
        </w:rPr>
      </w:r>
    </w:p>
    <w:tbl>
      <w:tblPr>
        <w:tblStyle w:val="Table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Tenant user/role/config management; cannot alter Zoiko global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View/prepare classifications/calculations; cannot promote legal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Filing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Prepare/workpapers; cannot final-approve own filing where SoD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Filing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Approve within assigned authority/entity; cannot bypass authorization/POA.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Content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Draft rules; cannot approve own rule bundle.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Content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Approve/promote independently reviewed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Support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 standing tenant-data access; JIT scoped case access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Infrastructure operations; no automatic right to plaintext tax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Security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Security policy/incident functions; separated from business data privileges.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Billing/Commercial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Entitlements/commercial data; cannot change tax correctness/content.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Break 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Emergency bounded access; not an everyday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Deny by default. Every sensitive action needs an explicit allow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Policy decisions include the version/hash of the policy bundle for auditability.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Separation-of-duties conflicts are machine-detectable (e.g., author cannot approve same content; preparer cannot approve own high-risk filing where required).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Role/attribute changes affecting authoritative permissions are logged and take effect without waiting for long session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Bulk export, cross-entity search, credential operations, impersonation, pack promotion and destructive actions require elevated scopes and often step-up/approval.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 Privileged Access, JIT &amp; Break-Glass</w:t>
      </w:r>
      <w:r w:rsidDel="00000000" w:rsidR="00000000" w:rsidRPr="00000000">
        <w:rPr>
          <w:rtl w:val="0"/>
        </w:rPr>
      </w:r>
    </w:p>
    <w:tbl>
      <w:tblPr>
        <w:tblStyle w:val="Table10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Standing production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Prohibited except tightly limited platform/security system identities.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JIT 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Time-bounded, ticket/purpose-bound, approved according to risk, auto-expires.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data support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Specific tenant/legal entity, case, time window and data class; customer visibility/approval where contract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Database shell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Exceptional only; proxy/brokered, identity-bound, logged; direct shared DB credentials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Credential 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Avoided; use delegated operations or vault injection. Reveal requires heightened approval/logging.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Break-glass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Dedicated path for service restoration/security emergency; alert immediately; retrospective review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Session 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Required for high-risk administrative shell/database operations where technically/privacy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Impersonation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Explicitly labeled support delegation, immutable audit trail; never silent token forgery.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 Tenant &amp; Legal-Entity Isolation</w:t>
      </w:r>
      <w:r w:rsidDel="00000000" w:rsidR="00000000" w:rsidRPr="00000000">
        <w:rPr>
          <w:rtl w:val="0"/>
        </w:rPr>
      </w:r>
    </w:p>
    <w:tbl>
      <w:tblPr>
        <w:tblStyle w:val="Table11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TENANT ISOLATION IS DEFENSE-IN-DEPTH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API authorization, storage policy, cache/search partitioning, object-store paths, encryption context and observability all carry the tenant/legal-entity boundary. No one layer is trusted to compensate for another.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Isolation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Minimum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Standard Multi-Tenant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Shared managed infrastructure may be used, but authoritative records include tenant ownership and storage-layer policy (e.g., RLS/policy equivalent) denies cross-tenant access. Application DB roles cannot bypass isolation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Enhanced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Dedicated database/schema/compute partition and/or tenant-specific keys for contractual/high-risk tenants.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Dedicated/Sovereign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Dedicated account/project/VPC/cluster/database/key hierarchy, with tightly controlled shared global metadata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Private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Customer-controlled infrastructure; Zoiko security responsibility defined through deployment contract and remote management boundary.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authoritative tenant record has immutable canonical tenant ownership; legal-entity ownership is explicit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Queries lacking a tenant context against tenant-scoped stores fail rather than return global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Database/service accounts used by normal applications cannot use administrative bypass privileges for tenant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Caches, queues, search indexes, analytics partitions, vector stores, object storage and temporary files are tenant/cell namespaced and authorization checked.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Cross-tenant analytics uses approved aggregation/de-identification pipelines; raw cross-tenant joins are restricted to specifically approved internal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Object-store presigned URLs are tenant/resource scoped, short-lived and never guessable.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Tenant deletion/export cannot traverse or affect another tenant's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Test fixtures must include adversarial cross-tenant ID substitution and confused-deputy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11. Global Residency &amp; Regional Cell Isolation</w:t>
      </w:r>
      <w:r w:rsidDel="00000000" w:rsidR="00000000" w:rsidRPr="00000000">
        <w:rPr>
          <w:rtl w:val="0"/>
        </w:rPr>
      </w:r>
    </w:p>
    <w:tbl>
      <w:tblPr>
        <w:tblStyle w:val="Table1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Data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Residency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Authoritative transaction/fiscal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Stored and processed in assigned permitted regional cell unless explicit transfer rule allows otherwise.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Evidence/WORM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Remain in permitted evidence region; replication follows retention and residency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Backups/DR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Must remain within permitted geography or legally/contractually approved paired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Logs/security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Minimize payloads; sensitive tenant values redacted/tokenized. Regional retention where residency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Search/indexes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Built inside cell for resident sensitive data; global search receives only permitted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 first; global management reporting uses approved aggregates/projections.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AI/RAG/vector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Sensitive tenant content remains in approved regional AI plane or is excluded; no silent global vectorization.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Support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Remote human access is policy-controlled; data location does not automatically authorize cross-border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Key residency/administrative control aligns with applicable contractual/regulatory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Global 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May store routing, pack, entitlement and non-sensitive metadata; no unrestricted raw billing/subscriber/fiscal centralization.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multinational tenant may map different legal entities/data domains to different cells.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Cross-cell copy is an explicit data-transfer operation with purpose, destination, allowed data classes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Failover must not silently move data to a prohibited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Residency metadata is authoritative configuration and change-controlled; moving an entity between cells is a migration, not a UI toggle.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12. Cryptography, Encryption &amp; Key Management</w:t>
      </w:r>
      <w:r w:rsidDel="00000000" w:rsidR="00000000" w:rsidRPr="00000000">
        <w:rPr>
          <w:rtl w:val="0"/>
        </w:rPr>
      </w:r>
    </w:p>
    <w:tbl>
      <w:tblPr>
        <w:tblStyle w:val="Table13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TLS 1.3 preferred; approved TLS 1.2 only where integration compatibility requires. Service-to-service mTLS for protected internal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Managed encryption for databases, objects, queues, backups and disks; additional application/field encryption for selected secrets/high-risk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Key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Root/cloud KMS/HSM -&gt; environment/cell keys -&gt; service/data-domain keys; customer-specific keys where profile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Key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Production/non-production, regions/cells, content signing, evidence signing, token signing and data encryption use distinct keys/roles.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Automated regular rotation where technology supports; event-driven rotation on compromise/personnel/provider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HSM/KMS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signing and high-assurance key operations use managed HSM/KMS-backed controls appropriate to assurance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BYOK/CMK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Enterprise option where commercially/technically justified; operational/recovery implications explicitly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Crypto 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Algorithms, key identifiers and versions are explicit to support future migration without rewriting historical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Cryptographic modules may use FIPS 140-3 validated implementations where customer/regulatory requirements mandate it; the platform must not falsely market all cryptography as FIPS-validated unless the deployed module/path is actually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13. Secrets, Certificates &amp; External Authority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All production secrets are stored in an approved secrets manager/HSM/KMS/credential vault and injected at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Source code, CI variables visible to broad developers, container images and Terraform state must not contain plaintext long-lived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Authority portal/API credentials are tenant/legal-entity/authority scoped, access-controlled and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Secrets have owner, purpose, environment, rotation policy, expiry where supported and last-used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Credential compromise triggers immediate revocation/rotation and impact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Certificate expiry is proactively monitored; no manually discovered production certificate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Private keys are non-exportable where feasible for signing/high-value identities.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 Network, API Edge &amp; Egress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Internet ingress terminates through managed edge controls supporting DDoS defense, WAF/API abuse protection and rate limiting.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Administrative endpoints are not exposed as ordinary public application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Internal network segmentation limits blast radius but is not used as the sole access-control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Egress is deny-by-default or destination-controlled for high-trust workloads, especially content signing, evidence, credentials and AI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Server-side request forgery defenses include URL allowlists/policy, metadata-service protection and restricted egress.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Private connectivity (PrivateLink/Private Service Connect/VPN/peering equivalents) is supported for enterprise/OEM integration where justified.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Regulator/authority adapters use destination pinning, certificate validation and explicit outbound identities.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DNS security, certificate automation and domain-change governance are treated as production security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15. Data Access, Export &amp; Exfiltration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Bulk export is a privileged action with tenant/legal-entity scope, reason, approval where configured and complete audit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Sensitive exports are generated in-region, encrypted, short-lived and access-controlled.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Clipboard/download restrictions may apply to high-risk workforce support surfaces without relying on them as the primary data-protection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databases are not directly queried for routine analytics/support; curated services/read models are preferred.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Query tools enforce tenant context and redact/tokenize high-risk fields by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DLP controls cover outbound email/cloud storage/source code/AI prompts for workforce environments according to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support attachments and imported files are malware-scanned, content-type validated and isolated before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16. Security Logging, Audit &amp; Detection</w:t>
      </w:r>
      <w:r w:rsidDel="00000000" w:rsidR="00000000" w:rsidRPr="00000000">
        <w:rPr>
          <w:rtl w:val="0"/>
        </w:rPr>
      </w:r>
    </w:p>
    <w:tbl>
      <w:tblPr>
        <w:tblStyle w:val="Table1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Event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Minimum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success/failure, MFA, recovery, federation changes, device anomalies.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high-risk denies/allows, policy version, role changes, tenant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Privileged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JIT request/approval/start/end, break-glass, support delegation.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bulk export, sensitive-record view, credential access, cross-entity 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Content/security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rule promotion, key/signing operations, policy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Filing/remittance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authorization, credential use, approvals, submissions and acknowledgements.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SSO/MFA/SCIM/security settings and entitlement security-relevant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control-plane changes, firewall/security group/IAM/KMS policy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sensitive prompt blocks, tool-policy violations, model/provider routing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Security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alerts, containment, evidence collection and recovery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audit records are immutable/tamper-evident and tenant boundaries are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Logs exclude passwords, tokens, secrets, full payment/authority credentials and unnecessary raw tax/subscriber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Detection rules cover impossible travel/credential stuffing, privilege escalation, cross-tenant anomalies, mass export, unusual support access, key misuse and pack-signing anomalies.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Time synchronization is monitored because authorization, signatures, tokens and forensic timelines depend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17. Vulnerability, Patch &amp; Exposure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Asset inventory includes services, APIs, repositories, images, packages, hosts, managed services, public endpoints, certificates and data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Internet-facing and critical assets receive continuous vulnerability/exposure monitoring appropriate to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Patch SLAs are risk-based and defined in DEVOPS/NFR; actively exploited vulnerabilities receive emergency treatment.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SAST, dependency/SCA, secret scanning, IaC scanning and container/image scanning are integrated into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DAST/API security testing is applied to externally reachable/application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Independent penetration testing covers tenant isolation, authentication, authorization, admin paths, APIs and private/edge deployments before material launch and periodically thereafter.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Vulnerability exceptions require owner, risk rationale, compensating control and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18. Secure SDLC &amp; Software Supply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Secure development aligns to NIST SSDF concepts: prepare the organization, protect software, produce well-secured software and respond to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OWASP ASVS 5.0.0 is the application-security verification baseline for web/API components, mapped at requirement level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Protected branches, mandatory review, signed/verified commits or equivalent provenance controls and protected release workflows are required for critical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Build systems are isolated from developer endpoints and produce verifiable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artifacts are immutable, content-addressed/signable and promoted—not rebuilt—from tested stage to production where practicable.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Dependency pinning/lockfiles and approved registries reduce dependency-substitution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SBOMs are generated per releasable artifact using CycloneDX 1.7-compatible output where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SLSA 1.2 concepts are used for source/build provenance targets; exact conformance level is defined in DEVOPS and measured, not casually claimed.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Third-party/open-source dependencies are continuously inventoried for vulnerabilities, licence and provenance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CI/CD production credentials are workload/federated and short-lived; long-lived cloud keys are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19. Cloud, Container &amp; Runtime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infrastructure is defined through reviewed infrastructure-as-code; console-only changes are emergency exceptions and reconciled back to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Containers run non-root where feasible, use minimal images, read-only filesystems where compatible and restricted Linux capabilities/seccomp equivalents.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Kubernetes/container orchestration uses namespace/account/cluster boundaries appropriate to cell and environment, plus admission/policy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Cloud IAM roles are narrowly scoped and separate human from workload privileges.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Metadata services, instance identities and node credentials are protected from workload misuse.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Public storage/database endpoints are prohibited unless specifically required and access-controlled.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Configuration drift and high-risk cloud control-plane changes generate detection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20. Country-Pack, Rule-Bundle &amp; Content Supply-Chain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Source ingestion, rule authoring, rule approval, compilation and signing are separate security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Content author cannot independently approve/sign the same production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bundles are cryptographically signed; execution runtimes verify signature, identity, version, compatibility, effective period and anti-rollback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Signing keys are isolated from general CI/CD/application runtime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Emergency content release retains four-eyes approval unless a pre-approved emergency governance mechanism explicitly defines alternate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Pack provenance includes source/rights/content/test approvals and build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Compromised signing keys trigger immediate key revocation, bundle re-sign/reissue and incident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21. AI Security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All model access goes through a governed model gateway enforcing tenant, region, data-class, provider and use-case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Untrusted retrieved/source/customer content is treated as data, not instructions; prompt-injection and tool-injection defenses are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agents/tools receive least-privilege capability tokens and cannot access arbitrary internal services merely because the model requests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cannot invoke content promotion, filing approval, remittance authorization, key operations, evidence deletion or privileged support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Sensitive prompts/responses are regionally routed and retained only according to approved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External model providers do not receive source/customer data for provider training unless explicitly authorized by SRC/PRIV/AIGOV.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RAG/vector indexes inherit tenant, residency and source-right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Model/provider fallback never silently moves protected data to an unapproved geography/provider.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22. Support, Operations &amp; Customer Impersonation</w:t>
      </w:r>
      <w:r w:rsidDel="00000000" w:rsidR="00000000" w:rsidRPr="00000000">
        <w:rPr>
          <w:rtl w:val="0"/>
        </w:rPr>
      </w:r>
    </w:p>
    <w:tbl>
      <w:tblPr>
        <w:tblStyle w:val="Table1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No standing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Support has no default read access to customer fiscal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Case-bound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JIT access requires a support/incident/change case and exact tenant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Purpose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Support UI always displays active tenant, legal entity, purpose and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Support-access history is customer-visible where contract/product tier provides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Sensitive field 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Separate action with audit; default masking.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Impersonation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Explicit delegated support session; customer's identity is never overwritten or forged.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Write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Higher approval/authorization than read; destructive/fiscal actions normally prohibited to generic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Session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Access auto-revokes and cached credentials/tokens expire.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Post-review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Break-glass/high-risk sessions require review for necessity and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23. Environment Separation &amp; Non-Production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and non-production use separate identity trust, secrets, keys, networks/accounts/projects and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customer data is prohibited in development/test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Where representative production-derived data is needed, use deterministic synthetic generation or approved de-identified subsets under Privacy/Security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Production credentials cannot authenticate to non-production systems and vice 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Developer local environments never receive production signing, filing or customer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Test authority credentials are distinct from live authority credentials where providers support test/sandbox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24. Third-Party, Vendor &amp; Partner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due diligence is risk-tiered based on data access, service criticality, network access and production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Critical providers require documented continuity/exit, incident notification, vulnerability management, access controls and subprocessor transparency appropriate to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Partner API credentials are unique per provider/customer integration and rotatable.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Vendor staff do not receive unrestricted direct production access; access is brokered through Zoiko controls where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Contract termination removes identities, secrets, network paths and data access and captures evidence of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25. Private, Sovereign &amp; Edge Deployment Security</w:t>
      </w:r>
      <w:r w:rsidDel="00000000" w:rsidR="00000000" w:rsidRPr="00000000">
        <w:rPr>
          <w:rtl w:val="0"/>
        </w:rPr>
      </w:r>
    </w:p>
    <w:tbl>
      <w:tblPr>
        <w:tblStyle w:val="Table1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Security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Zoiko-hosted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 owns infrastructure/security operations within contracted shared/dedicated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VPC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Shared responsibility: Zoiko manages software/control components; customer owns agreed cloud perimeter/account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Private/on-prem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Deployment uses signed artifacts, workload identity, offline key/secret procedures, hardened update channel and local audit 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Disconnected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Signed bundles with expiry/anti-rollback; no assumption of live central revocation; offline trust and emergency withdrawal procedure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Customer-managed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Key availability, revocation, backup and support consequences contractually explicit.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Private deployment does not permit bypassing tenant/resource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Customer-controlled infrastructure security gaps must be surfaced as deployment prerequisites, not silently absorbed by Zoiko.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Diagnostic bundles exported from private environments are scrubbed of secrets and unnecessary tenant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26. Security Incident Response &amp; Forensics</w:t>
      </w:r>
      <w:r w:rsidDel="00000000" w:rsidR="00000000" w:rsidRPr="00000000">
        <w:rPr>
          <w:rtl w:val="0"/>
        </w:rPr>
      </w:r>
    </w:p>
    <w:tbl>
      <w:tblPr>
        <w:tblStyle w:val="Table1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Security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Confirmed/likely cross-tenant exposure, signing-key compromise, widespread unauthorized access, material production integrity compromise.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Material single-tenant sensitive data compromise, privileged credential compromise, exploitable production security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Contained security event with limited/no confirmed sensitive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Low-risk attempted event, policy violation or benign security finding.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severity is independent from tax/content/legal incident severity; one event may carry multiple classifications.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Incident response preserves evidence and coordinates with LEG/PRIV/EVID for notification, legal hold and customer/regulator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Containment actions may suspend tenants, credentials, services, country packs or integrations while preserving replay/evidence.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Cross-tenant exposure is treated as a critical architectural incident even if record count is small.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Root-cause remediation includes control/test updates, not only point fixes.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27. Assurance &amp; Control Mapping</w:t>
      </w:r>
      <w:r w:rsidDel="00000000" w:rsidR="00000000" w:rsidRPr="00000000">
        <w:rPr>
          <w:rtl w:val="0"/>
        </w:rPr>
      </w:r>
    </w:p>
    <w:tbl>
      <w:tblPr>
        <w:tblStyle w:val="Table1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NIST SP 800-207 / 800-207A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Zero-trust resource-centric and cloud-native identity/access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NIST SP 800-63-4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Digital identity/authentication/federation concepts; applied proportionately, not claimed as government-system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RFC 9700 / BCP 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Current OAuth 2.0 security best current practice.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SPIFFE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Portable workload identity/SVID model for service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OWASP ASVS 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Stable application-security verification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NIST SP 800-218 SSDF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Secure software development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SLSA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Source/build provenance and supply-chain security target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CycloneDX 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SBOM/supply-chain metadata format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ISO/IEC 27001:2022 + Amd 1:2024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ISMS baseline and enterprise assurance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SOC 1 / 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Attestation scopes as applicable; not security 'certifications' for the product itself.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28. Production Security Gates</w:t>
      </w:r>
      <w:r w:rsidDel="00000000" w:rsidR="00000000" w:rsidRPr="00000000">
        <w:rPr>
          <w:rtl w:val="0"/>
        </w:rPr>
      </w:r>
    </w:p>
    <w:tbl>
      <w:tblPr>
        <w:tblStyle w:val="Table1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Tenant/legal-entity isolation is enforced below application handler level and cross-tenant adversarial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Production privileged access is JIT, phishing-resistant-MFA protected and fully attributable.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Human and workload identity trust roots are separated by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production secrets exist in source control/images/ordinary config/logs.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 externally reachable APIs pass authentication/authorization/abuse controls and ASVS-mapped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 residency controls cover primary, replicas, backup, logs, search, analytics and AI/vector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Encryption/key hierarchy, rotation and recovery are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Content/rule bundles are signed and anti-rollback verification is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SBOM/provenance/security scans exist for production artifacts.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Critical/high vulnerabilities are within approved launch thresholds; exceptions are signed and time-bounded.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Independent penetration test includes tenancy/IAM/admin/API scope and material findings are remediated or formally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logging/detection covers privileged, identity, export, key and cross-tenant anomalies.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Incident response and key/credential compromise exercises have been demonstrated.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Private/edge deployment profile has signed-artifact, key, update and diagnostic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 model gateway enforces region/data/use-case boundaries and prohibited tool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Authority/filing credentials are vault-controlled and never exposed to ordinary users/support.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Production/non-production identity, secrets, keys and customer data are separated.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G-SEC-18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unresolved security architecture exception affects authoritative fiscal/filing/evidence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29. Normative Security Requirements</w:t>
      </w:r>
      <w:r w:rsidDel="00000000" w:rsidR="00000000" w:rsidRPr="00000000">
        <w:rPr>
          <w:rtl w:val="0"/>
        </w:rPr>
      </w:r>
    </w:p>
    <w:tbl>
      <w:tblPr>
        <w:tblStyle w:val="Table20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Normative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protected request MUST be authenticated unless explicitly designated public.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Network location MUST NOT be sufficient authorization for a protected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tenant-scoped request MUST carry authoritative tenant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Tenant-scoped data access without tenant context MUST fail closed.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Legal-entity scope MUST be enforced where resource authority is entity-specific.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Environment identity MUST be part of authorization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and non-production identity trust roots MUST be separate.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and non-production keys/secrets MUST be separate.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Customer/admin role changes MUST be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High-risk authorization decisions MUST record policy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Authorization MUST deny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RBAC MUST be supplemented by attributes for tenant/entity/environment/data/action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Segregation-of-duties conflicts MUST be machine-detectable.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 authors MUST NOT independently approve the same production content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Privileged workforce access MUST require MFA.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privileged workforce access MUST require phishing-resistant MFA.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privileged access MUST use JIT/time-bounded elevation.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Standing generic shared production admin accounts MUST be prohibited.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Break-glass access MUST use dedicated identities and immediate alerting.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Break-glass use MUST receive post-event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 tenant-data access MUST be case/purpose bound.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 tenant-data access MUST auto-expire.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 impersonation MUST be explicit and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 tools MUST display active tenant/context prominently.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Database administrative access MUST be exceptional and identity-attributable.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Application DB roles MUST NOT possess tenant-isolation bypass privileges in normal runtime.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Tenant isolation MUST exist at storage/policy layer in addition to API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Cross-tenant object identifier substitution MUST be tested.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Caches MUST be tenant/cell partitioned or key-scoped.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Search indexes MUST enforce tenant/cell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Vector/RAG stores containing tenant data MUST enforce tenant and residency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Queues/topics carrying tenant data MUST preserve tenant/cell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Object storage paths/access policies MUST be tenant/resource scoped.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Presigned resource URLs MUST be short-lived and resource scoped.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Analytics access to raw multi-tenant data MUST require specifically approved service/role.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Global analytics SHOULD use approved aggregates/projections instead of raw tenant centralization.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Authoritative tenant data MUST remain in assigned permitted residency cell unless approved transfer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Backup/DR placement MUST comply with residency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Search replicas/indexes MUST comply with residency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 logs MUST minimize/redact unnecessary sensitive tenant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AI/model routing MUST comply with tenant data residency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Cross-cell data transfer MUST be explicitly authorized and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Failover MUST NOT move resident data to a prohibited region.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Residency configuration changes MUST be change-controlled.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Moving a legal entity between residency cells MUST use a controlled migration.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 identities SHOULD support enterprise federation.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Privileged local-password-only authentication MUST be prohibited.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OAuth interactive clients MUST use authorization-code flow with PKCE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OAuth implicit grant MUST be prohibited.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OAuth redirect URIs MUST use exact matching except standards-defined native localhost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Open redirectors MUST be prohibited on OAuth surfaces.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AppSec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Bearer tokens MUST NOT be written to URLs or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AppSec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Access tokens MUST be audience restricted.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Access tokens MUST be short-lived according to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Refresh tokens MUST be revocable and protected against replay according to client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Public OAuth clients MUST NOT depend on client secrets.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 keys MUST be tenant-scoped, rotatable and hashed/encrypted at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 keys MUST NOT be the preferred service-to-service authentication for new internal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Workloads MUST use verifiable cryptographic identities.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Workload identities MUST be short-lived or automatically rotated.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and non-production workload trust domains MUST be separate.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Service authorization MUST use workload identity and policy, not source IP alone.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mTLS MUST protect sensitive internal service-to-service traffic.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Shared long-lived service passwords MUST be prohibited.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All production secrets MUST be stored in an approved secrets/credential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Secrets MUST NOT be committed to source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Secrets MUST NOT be embedded in container images/artifacts.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Secrets MUST NOT be exposed in ordinary logs/telemetry.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Authority credentials MUST be scoped to tenant/legal entity/authority as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Authority credential access MUST be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Credential compromise MUST support immediate revocation/rotation.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Certificate/key expiry MUST be monitored proactively.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Sensitive signing private keys SHOULD be non-exportable where feasible.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TLS 1.3 SHOULD be preferred for protected network traffic.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TLS 1.2 MAY be used only for required compatibility with approved cipher/protocol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At-rest encryption MUST cover authoritative databases/object stores/backups.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Key hierarchy MUST separate environments/cells and security 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 signing keys MUST be separate from application authentication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 signing keys MUST be separate from ordinary data-encryption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Key rotation MUST be supported without losing historical verification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Cryptographic algorithms/keys MUST be version identified for agility.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Internet ingress MUST use DDoS/abuse/rate controls appropriate to API exposure.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Admin endpoints MUST NOT be exposed as ordinary public application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High-trust workloads SHOULD use controlled egress.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SSRF defenses MUST prevent arbitrary access to metadata/internal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AppSec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Authority adapters MUST use explicit permitted outbound destinations.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Bulk exports MUST be privileged and fully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Sensitive exports MUST be short-lived and access controlled.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Uploaded customer files MUST be type-validated and malware scanned before trusted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database direct access MUST NOT be routine support/analytics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 audit records MUST be tamper-evident/immutable according to EVID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Authentication and privileged events MUST be centralized for detection.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Logs MUST NOT contain passwords/tokens/secrets.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Mass-export and cross-tenant anomaly detections MUST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Time synchronization MUST be monitored for production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 authoritative asset inventory MUST cover public endpoints/services/repositories/images/data stores.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SAST/SCA/secret/IaC scanning MUST run in CI for applicable components.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Externally reachable applications/APIs MUST undergo dynamic/security testing appropriate to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AppSec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Material production releases MUST have SBOMs.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SBOM format SHOULD support CycloneDX 1.7 or approved interoperable equivalent.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Build provenance MUST be generated for production artifacts.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CI/CD production authentication MUST use short-lived/federated identity where 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artifacts MUST be immutable and versioned.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Critical repositories MUST require review/protected branch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Dependency versions MUST be pinned/locked where ecosystem supports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Vulnerability exceptions MUST be time bounded and risk 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Independent penetration testing MUST include tenant isolation and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Infrastructure configuration MUST be version-controlled IaC for production baseline.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Emergency console changes MUST be reconciled to IaC.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Containers SHOULD run non-root and minimal privilege where feasible.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Cloud IAM MUST separate human and workload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Public database/storage exposure MUST be prohibited unless explicitly required and controlled.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Country/rule bundle production builds MUST be cryptographically signed.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Rule runtimes MUST verify bundle signature before authoritative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Bundle anti-rollback controls MUST reject disallowed older 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 author and approver roles MUST be separated.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Signing key compromise MUST have a tested revocation/reissue runbook.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access MUST pass through a governed model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tool calls MUST be least-privilege and policy checked.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MUST NOT invoke content promotion, filing approval, remittance authorization or evidence deletion.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RAG retrieval MUST enforce tenant/source-right/residency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Model fallback MUST NOT violate region/provider/data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External model training on customer/source data MUST default disabled absent explicit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customer data MUST be prohibited in dev/test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and test authority credentials MUST be separated.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Third-party provider access MUST be risk-tiered and least privilege.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Vendor termination MUST revoke identities/secrets/network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Private/edge artifacts MUST be signed and 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Disconnected edge MUST enforce bundle expiry/anti-rollback appropriate to pack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Private deployment diagnostics MUST redact secrets/unnecessary customer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 incidents MUST preserve evidence and coordinate legal/privacy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Cross-tenant data exposure MUST be treated as a critical security incident.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Containment MAY suspend affected service/tenant/integration while preserving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 fixes MUST add regression/control tests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ZTAX-SEC-REQ-0135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release MUST fail if mandatory security gates are unresolved.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30. Security Verification &amp; Conformance Suites</w:t>
      </w:r>
      <w:r w:rsidDel="00000000" w:rsidR="00000000" w:rsidRPr="00000000">
        <w:rPr>
          <w:rtl w:val="0"/>
        </w:rPr>
      </w:r>
    </w:p>
    <w:tbl>
      <w:tblPr>
        <w:tblStyle w:val="Table21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SEC-TENANT-CONF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Cross-tenant ID substitution, missing-context queries, cache/search/vector/object-store isolation, bulk/export/delete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SEC-IAM-CONF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SSO/OIDC/OAuth flows, MFA/step-up, recovery, revocation, redirect/open-redirect and token replay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SEC-PAM-CONF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JIT approval, expiry, break-glass alerts/review, support delegation and database/admin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SEC-WORKLOAD-CONF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Workload identity issuance, mTLS, trust-domain isolation, rotation and policy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SEC-RESIDENCY-CONF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Primary/replica/backup/log/search/AI placement and forbidden-region failover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SEC-CRYPTO-CONF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Key separation, rotation, signing verification, compromised-key runbook and historical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SEC-SECRET-CONF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Repository/image/log scan plus vault injection and authority credential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SEC-SUPPLY-CONF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Protected source/build, provenance, SBOM, dependency and artifact-signature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SEC-CONTENT-CONF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Rule bundle signing, four-eyes promotion, anti-rollback and key compromise.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SEC-AI-CONF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Prompt/tool injection, data-boundary, tenant/RAG isolation and prohibited tool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SEC-EXPORT-CONF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Bulk export authorization, short-lived delivery, audit and tenant scoping.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SEC-INCIDENT-CONF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Tabletop/technical exercise for cross-tenant exposure, key compromise and privileged account compromise.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SEC-EDGE-CONF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Private/VPC/disconnected deployment signing, update, key and diagnostic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SEC-APPSEC-CONF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OWASP ASVS mapped verification for critical external applications/APIs.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31. Security RACI</w:t>
      </w:r>
      <w:r w:rsidDel="00000000" w:rsidR="00000000" w:rsidRPr="00000000">
        <w:rPr>
          <w:rtl w:val="0"/>
        </w:rPr>
      </w:r>
    </w:p>
    <w:tbl>
      <w:tblPr>
        <w:tblStyle w:val="Table2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114"/>
        <w:gridCol w:w="2114"/>
        <w:gridCol w:w="2114"/>
        <w:gridCol w:w="2114"/>
        <w:gridCol w:w="2114"/>
        <w:tblGridChange w:id="0">
          <w:tblGrid>
            <w:gridCol w:w="2114"/>
            <w:gridCol w:w="2114"/>
            <w:gridCol w:w="2114"/>
            <w:gridCol w:w="2114"/>
            <w:gridCol w:w="211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Accountable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Consulted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Security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Chief Architect / DPO / CCRO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IAM/federation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Identity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 / Enterprise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+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Platform/Data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QA / Product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Residency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+ 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Platform/Data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Security / SRE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Cryptography/keys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SRE / Evidence /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PAM/support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 + Support 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Security/PAM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Success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Secure SDLC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+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DevSecOps/AppSec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Engineering Leads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Privacy / SRE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Third-party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Vendor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Procurement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CCRO/CPO as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Private/edge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+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Platform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Solutions / Legal /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32. Mandatory Security ADRs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ADR-SEC-001 — Human identity provider/federation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ADR-SEC-002 — Workload identity, trust-domain and mTLS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ADR-SEC-003 — Authorization policy engine and RBAC/ABAC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ADR-SEC-004 — Standard versus enhanced/dedicated tenant storage isolation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ADR-SEC-005 — Database storage-layer tenant policy enforcement.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ADR-SEC-006 — Regional residency and cross-cell transfer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ADR-SEC-007 — KMS/HSM key hierarchy and cryptographic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ADR-SEC-008 — Production privileged access and support delegation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ADR-SEC-009 — Authority credential vault and delegated filing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ADR-SEC-010 — Security logging/SIEM and tenant-sensitive redaction.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ADR-SEC-011 — Internet edge/WAF/API abuse and DDoS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ADR-SEC-012 — Egress control and SSRF protection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ADR-SEC-013 — Secure build/provenance/artifact signing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ADR-SEC-014 — Country-pack/rule-bundle signing and anti-rollback.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ADR-SEC-015 — AI model gateway security/data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ADR-SEC-016 — Private/VPC/on-prem/disconnected-edge security responsibility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ADR-SEC-017 — Customer-managed/BYOK encryption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ADR-SEC-018 — Cross-tenant analytics and de-identification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ADR-SEC-019 — Non-production data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ADR-SEC-020 — Break-glass and emergency security control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33. External Standards Baseline</w:t>
      </w:r>
      <w:r w:rsidDel="00000000" w:rsidR="00000000" w:rsidRPr="00000000">
        <w:rPr>
          <w:rtl w:val="0"/>
        </w:rPr>
      </w:r>
    </w:p>
    <w:tbl>
      <w:tblPr>
        <w:tblStyle w:val="Table23"/>
        <w:tblW w:w="10569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NIST SP 800-207 — Zero Trust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Resource-centric zero trust; no implicit trust based on network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https://csrc.nist.gov/pubs/sp/800/207/final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NIST SP 800-207A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Cloud-native/multi-cloud application identity/access model; explicitly discusses SPIFFE-class identity infrastructure.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https://csrc.nist.gov/pubs/sp/800/207/a/final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NIST SP 800-63-4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Current NIST Digital Identity Guidelines, published July 2025; supersedes SP 800-63-3.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https://csrc.nist.gov/pubs/sp/800/63/4/final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RFC 9700 / BCP 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OAuth 2.0 Security Best Current Practice, January 2025.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https://www.rfc-editor.org/rfc/rfc9700.html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SPIFFE Specification / SVID / Workload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Portable workload identity and verifiable service identities.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https://spiffe.io/docs/latest/spiffe-specs/spiffe/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OWASP ASVS 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Latest stable ASVS release (May 2025) for application/web service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https://owasp.org/www-project-application-security-verification-standard/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NIST SP 800-218 SSDF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Secure Software Development Framework.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https://csrc.nist.gov/pubs/sp/800/218/final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SLSA 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Current supply-chain security specification with source and build tracks.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https://slsa.dev/spec/v1.2/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CycloneDX 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Current CycloneDX specification version for supply-chain/SBOM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https://cyclonedx.org/specification/overview/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ISO/IEC 27001:2022 + Amd 1:2024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Information security management system baseline.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https://www.iso.org/standard/27001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34. Engineering Handoff</w:t>
      </w:r>
      <w:r w:rsidDel="00000000" w:rsidR="00000000" w:rsidRPr="00000000">
        <w:rPr>
          <w:rtl w:val="0"/>
        </w:rPr>
      </w:r>
    </w:p>
    <w:tbl>
      <w:tblPr>
        <w:tblStyle w:val="Table2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Downstream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Delegated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ZTAX-PRIV-001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Purpose limitation, data minimization, data-subject/privacy controls and transfer legality.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Specific SLOs/RTO/RPO/capacity and security-related availability targets.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ZTAX-AIGOV-001 / 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Model-risk governance and implementation of AI security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ZTAX-DEVOPS-001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 implementation of secure SDLC, release, scanning, provenance and runbooks.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ZTAX-QA-001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verification, tenancy regression and certification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ZTAX-CONT/SRC-001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Content/source rights and bundle provenance/signing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audit/evidence immutability, replay and legal 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ZTAX-COMP/REM/CTC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credentials, filing/remittance/CTC action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ZTAX-MIG-001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Secure imports, legacy credentials and migration staging.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Commercial isolation profiles/BYOK/private deployment entitlements must never weaken baseline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4C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PRODUCTION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must be secure even when an application developer makes a routine mistake. Production authority requires independent identity, authorization, tenant isolation, residency, cryptographic, evidence and monitoring controls to agree before sensitive data or fiscal actions are permitted.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25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Information Security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Technology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Data Protection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2">
      <w:pPr>
        <w:keepNext w:val="0"/>
        <w:spacing w:after="0" w:before="20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666c75"/>
          <w:sz w:val="14"/>
          <w:szCs w:val="14"/>
          <w:rtl w:val="0"/>
        </w:rPr>
        <w:t xml:space="preserve">End of ZTAX-SEC-001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691" w:top="720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10368.000000000002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456"/>
      <w:gridCol w:w="3456"/>
      <w:gridCol w:w="3456"/>
      <w:tblGridChange w:id="0">
        <w:tblGrid>
          <w:gridCol w:w="3456"/>
          <w:gridCol w:w="3456"/>
          <w:gridCol w:w="345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E8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CONFIDENTIAL · CONSTITUTIONAL CONTROL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E9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ZoikoTax™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EA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color w:val="666c75"/>
              <w:sz w:val="12"/>
              <w:szCs w:val="12"/>
              <w:rtl w:val="0"/>
            </w:rPr>
            <w:t xml:space="preserve">29 August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E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10368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84"/>
      <w:gridCol w:w="5184"/>
      <w:tblGridChange w:id="0">
        <w:tblGrid>
          <w:gridCol w:w="5184"/>
          <w:gridCol w:w="518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E4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ZOIKOTAX™  |  SECURITY, IAM, TENANCY &amp; RESIDENCY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E5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ZTAX-SEC-001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42b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7a1f3d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26a6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