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ZOIKORUM — REQUEST PROPOSAL &amp; ENGAGEMENT FLOW WIREFRAME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FORTUNE-10 GOVERNED ENGAGEMENT CREATION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Zoikorum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Request Proposal &amp; Engagement Flow (Canonical)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Global Marketplace for Governed Professional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Document Classification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Production-Ready Interaction Wireframe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Buyers · Professionals · Firms · Enterprise Buyers · Procurement · Legal · Compliance · Product · Design ·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Fortune 10 · Tier-1 Marketplace UX · Governance-First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Production-Ready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January 22, 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Executive Intent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Request Proposal &amp; Engagement Flow is the conversion spine of Zoikorum. It transforms marketplace discovery into a governed engagement that is contract-ready, payment-protected, and audit-recorded before work begins. The flow must feel fast and familiar while enforcing governance as protection—not bureaucracy.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flow is not a contact form. It is not informal messaging. It is a controlled engagement creation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Non-Negotiable UX / UI Laws (Enforced)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Jakob’s Law — patterns mirror familiar proposal + checkout flows (Upwork/Fiverr) while adding governance signals.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Hick’s Law — each step presents no more than 3 primary choices; advanced options are hidden.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Miller’s Law — information chunking: 5–7 visible objects per panel; long lists are collapsed.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Fitts’s Law — primary CTAs are large (min 48px height desktop, 56px mobile) and placed consistently.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Disclosure — complexity appears only after intent (request submitted) and only when relevant.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Recognition over Recall — prefilled fields, templates, pill summaries, and “Edit” links avoid memory burden.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Prevention — validation, conflict detection, and locked states prevent ambiguous commitments.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Position Effect — the most critical messages appear at the beginning and end of each step.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Aesthetic–Usability Effect — clean hierarchy, whitespace, and calm reassurance reduce perceived risk.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Doherty Threshold — feedback for any user action occurs within 400ms (skeleton states where necessary).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Peak-End Rule — the flow ends with a strong confirmation, clear next steps, and risk reassurance.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 &amp; Standards — identical terminology and components across buyer/professional/enterprise contexts.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(WCAG 2.2 AAA target) — keyboard navigation, semantic structure, focus indicators, contrast, and assistive labels.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3. System Map (End-to-End)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Entry → Request (Buyer) → Proposal (Professional) → Review (Buyer) → Agreement Finalization → Payment Protection Setup → Engagement Activation → Redirect to Dashboards.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dead ends. Every state presents an explanation, a next action, and a support path.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Entry Points &amp; Gating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Supported entry points: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Profile — Primary CTA: Request Proposal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Results — Card CTA: Request Proposal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View — Request Proposal for selected professional(s)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Professionals — Request Proposal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Dashboard — Post Requirement / Request Proposal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Identity gating rules: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Anonymous users may browse; proposal submission requires sign-in.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user is not signed in, the system captures intent first (opens flow), then prompts sign-in at submission.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accounts may enforce additional buyer verification (policy dependent).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5. Global Flow UI Frame (Persistent Elements)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All steps share the same shell to preserve orientation (Jakob’s Law).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indicator (1–6) with short labels; shows progress and supports back navigation.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‘Save Draft’ for buyer (when signed in) from Step 1 onward.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Sticky right-side ‘Engagement Summary’ (desktop) / collapsible summary drawer (mobile).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governance strip: Verified Identity · Contract-Ready · Payment Protection · Audit Record.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entry: ‘Need help?’ opens contextual article or support.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6. Step 1 — Request Proposal (Buyer Intent Capture)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Objective: capture the buyer’s need with minimal friction while structuring for clarity.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Layout: single column form (desktop modal / mobile full-screen). One primary CTA.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Fields (Required unless stated):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Needed (prefilled from profile/service card; editable)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Type (radio): Advisory / Project / Retainer / Fractional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Objective (single sentence) — 300 character limit with counter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(textarea) — 1,200 character limit with guidance prompts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Start Date (date picker)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 (dropdown): 1–2 weeks / 3–6 weeks / 2–3 months / 3–6 months / Ongoing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Optional (collapsed by default):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Range (slider)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Mode: Remote / On-site / Hybrid (selecting On-site triggers location capture)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Confidentiality: NDA required before proposal (toggle)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(optional) — max 3 files; virus scanned; shown as thumbnails with remove action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Microcopy standards (plain language):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example: “Try: ‘Need help preparing audited financials for year-end close.’”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 toggle note: “You can request an NDA before discussing sensitive details.”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note: “Optional — helps professionals propose accurately.”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Validation &amp; error prevention: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required; must not be blank; inline error appears on blur.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cannot be in the past; duration required.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types restricted (PDF/DOCX/XLSX/PNG/JPG).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Primary CTA: Send Request (48px height desktop; full-width 56px mobile).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Secondary actions: Save Draft · Cancel.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7. Step 1 Confirmation State (Instant Feedback)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submit, show immediate confirmation within 400ms (Doherty Threshold).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message: “Request sent. You’ll be notified when the professional responds.”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actions: Track Request · Request Another Proposal · Browse Similar Professionals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Auto-create request thread in the engagement workspace; status = ‘Awaiting Proposal’.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8. Step 2 — Professional Proposal Creation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Objective: enable professionals to respond with structured proposals aligned to governance controls.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Professional sees buyer request in read-only format (prevents misunderstanding).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Proposal Builder sections: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Summary — short message to buyer (500 characters)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Alignment — confirm deliverables OR propose edits (tracked as suggested changes)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— structured list; must map to milestones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— start date, milestone dates, completion date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— hourly/fixed/retainer; itemized if milestone-based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&amp; Exclusions — structured bullets; prevents scope creep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Attachments — portfolio items or supporting docs (policy gated)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Governance signals (always visible):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will be generated from the accepted proposal scope.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protection options are available and will be configured by the buyer.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resolution pathway exists; all actions create an audit record.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Professional validation: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cannot be submitted without at least one deliverable and one price.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buyer required NDA, professional must accept NDA before viewing attachments or sensitive fields.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buyer policy requires Tier A, system blocks submission if professional is not eligible.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Primary CTA: Submit Proposal. Secondary: Save Draft · Decline Request.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9. Step 3 — Proposal Review (Buyer)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Objective: enable fast, confident evaluation with minimal cognitive load.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UI: proposal cards (grid) with a consistent schema; optional comparison (max 3).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Proposal card includes: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name + trust tier badge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snapshot (top 3 deliverables, +X more)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summary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summary (range or total) + pricing model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readiness icons: Contract-ready · Payment protection · Audit record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group (max 3): View Details · Request Revision · Accept Proposal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Buyer actions: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Proposal — primary action; triggers agreement finalization.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Revision — opens structured change request (no free-form ambiguity).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Decline — optional reason; non-punitive; improves marketplace signals.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Decision support: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Explainable ‘Why this proposal matches’ tooltip (recognition &gt; recall).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deltas from buyer request (scope/price/timeline) using diff blocks.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10. Step 4 — Agreement Finalization (Contract-First)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Objective: convert accepted proposal into enforceable engagement terms.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Agreement screen is read-only by default and uses progressive disclosure for legal text.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Visible summary panel (always visible):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(buyer entity + professional/firm)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and deliverables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 and acceptance criteria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and payment schedule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order rules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process reference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Expandable sections (collapsed):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terms (platform template)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handling / confidentiality (if applicable)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and governing law (policy dependent)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Signature model: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signs first (or enterprise approval workflow triggers).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countersigns.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Timestamped signature receipts stored in engagement dossier.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Primary CTA: Continue to Payment Protection Setup.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Secondary: Request Change Order (returns to structured revision).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11. Step 5 — Payment Protection Setup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Objective: configure safe payment mechanics without confusion.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Payment options (policy dependent):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Funding — fund total or per milestone; releases require acceptance.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Retainer Funding — monthly cycle with acceptance gates (where applicable).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Release — single release upon completion acceptance.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Payment summary panel (always visible):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Funds to be held / funded now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conditions (plain language)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Approver (enterprise role, if applicable)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hold behavior (plain language)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Confirmations and error prevention: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review modal: “You are about to fund protected payment for this engagement.”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funding fails, provide retry + alternate method + support path.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Primary CTA: Fund &amp; Activate Engagement.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12. Step 6 — Engagement Activated (Strong End State)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Objective: deliver a confident, reassuring end state (Peak-End Rule).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Activation screen displays: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Status: Active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ID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milestone and due date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collaborate: engagement workspace link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protected: contract + payment + audit record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Primary CTAs: Go to Buyer Dashboard · View Engagement Workspace.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Secondary: Invite team members (enterprise) · Request additional proposals.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13. Engagement Workspace (Created Automatically)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Immediately after activation, the system creates a governed workspace.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Workspace tabs: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— key terms, contacts, next milestone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— read-only contract scope + versions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 — submissions, acceptance, revision requests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 — engagement-threaded messages (no off-platform dependency)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— versioned artifacts with access controls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— ledger view, release history, holds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Log — immutable timeline of events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14. Change Orders (Scope Versioning)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Objective: prevent scope creep and protect both sides.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Change request initiation (buyer or professional):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change type: add deliverable / modify deliverable / extend timeline / pricing change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delta form with before/after preview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summary: time + cost + milestone adjustments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required by both parties; enterprise may require additional approver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changes produce a new version number and immutable record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15. Dispute Entry Point (Branch, Not Default)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Dispute path exists but is not foregrounded unless triggered.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Dispute triggers: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rejects deliverable and escalation requested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claims non-payment or unfair rejection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violation flags (rare)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Dispute initiation UI: structured reason + evidence upload + timeline. Funds held per protection terms.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16. Error &amp; Edge States (No Dead Ends)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Conflict detection examples: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conflict: Buyer requires Tier A; selected professional is Tier B → system blocks acceptance and offers alternatives.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conflict: Professional not eligible for buyer’s region → block activation; suggest eligible professionals.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 required but not accepted → block viewing attachments; provide accept NDA path.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 failure → retry options + support escalation; do not lose state.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Empty states: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proposal received: suggest requesting additional professionals; provide timeline and reminders.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expired: notify and allow re-request with preserved scope.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17. Notifications &amp; Timing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Notification channels: in-app + email (optional) + enterprise webhook (optional).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Key notifications: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sent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received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requested/received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ready for signature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Counter-sign completed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funded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submitted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approved / revision requested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completed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opened/updated/closed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18. Audit &amp; Record Generation (System of Record)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Every step logs: actor, timestamp, action, object, state transition, and attachments hash.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Generated outputs: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Record (buyer intent + initial scope)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Record (professional response + pricing)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Agreement (signed)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Protection Ledger (funds held/released)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Acceptance Log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Order History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Record (if applicable)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Pack (PDF/CSV/JSON) with attestations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19. Performance &amp; Interaction Standards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Contentful Paint: &lt; 1.2s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Interactive: &lt; 3.5s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Web Vitals: CLS &lt; 0.1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action feedback: &lt; 400ms (Doherty Threshold)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Autosave cadence: within 1s of pause in typing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20. Accessibility (WCAG 2.2 AAA Target)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fields have explicit labels and inline help.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 for steps, buttons, modals.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states are always visible and high contrast.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is never the only indicator (icons + text + patterns).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Screen-reader friendly: semantic headings and ARIA where needed.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21. Analytics &amp; Funnel Instrumentation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Primary funnel events (buyer):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Clicked Request Proposal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Step 1 (request submitted)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 proposal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proposal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agreement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Funded payment protection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activated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Primary funnel events (professional):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 request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proposal draft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proposal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Viewed revision request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Countersigned agreement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milestone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Quality metrics: abandonment per step; time per step; revision rate; dispute incidence; time-to-activation.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22. Legal Positioning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Zoikorum provides marketplace infrastructure, verification, contracting facilitation, and payment protection mechanisms. Professional services are delivered by independent third-party professionals and firms. Zoikorum does not provide regulated professional services.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23. Document Control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Review Cycle: Quarterly or upon material change.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Approvals Required: Product · Design · Legal · Compliance · Engineering · Executive.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