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koyoq48oh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 LOCAL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jtpk5c49n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Master, Business, and Personal Tagline Architecture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o57onn508oh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Designer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vr4il8d06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Final Verdict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three-level tagline architecture, not one universal line forced to do every job.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master brand line should carry emotional memory and market distinctiveness. Business and Personal lines should then sharpen the conversion message for each buyer group without weakening the master brand.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7vf1sykea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Locked Tagline Architecture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Locked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Designer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Sound Local. Stay Close.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Corporate umbrella line for Zoiko Local.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 in master brand lockups, homepage tagline areas, identity deck, brand overview pages, social bios, footer brand description, and high-level product introductions.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local number. Work anywhere.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B2B conversion line for companies, teams, professionals, and distributed operations.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 on For Business, Contact Sales, Pricing, Business plan cards, enterprise CTA strips, sales-led landing pages, and corporate acquisition flows.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Sound Local. Stay Close.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Consumer, diaspora, relocation, travel, and family-connected use cases.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 on Personal plans, consumer landing pages, app-store copy, diaspora messaging, travel/relocation campaigns, and customer stories focused on family, home, and accessibility.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zqrta7y3t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Must Be Updated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Not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Homepage / master brand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Replace legacy or rejected master-tagline references with: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Sound Local. Stay Close.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 Local. Anywhere.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Local Presence. Global 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and sales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Your local number. Work anywhere.</w:t>
            </w:r>
            <w:r w:rsidDel="00000000" w:rsidR="00000000" w:rsidRPr="00000000">
              <w:rPr>
                <w:rtl w:val="0"/>
              </w:rPr>
              <w:t xml:space="preserve"> Pair with conversion CTAs such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Get a Local Number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Compare Plans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Contact Sales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Start Free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Consumer-coded copy as the main B2B headline.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/ consumer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Sound Local. Stay Close.</w:t>
            </w:r>
            <w:r w:rsidDel="00000000" w:rsidR="00000000" w:rsidRPr="00000000">
              <w:rPr>
                <w:rtl w:val="0"/>
              </w:rPr>
              <w:t xml:space="preserve"> Support with copy about family, home, travel, relocation, and being reachable through a local number.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Enterprise-heavy phrases that make the product feel only for corporations.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Navigation, footer, and identity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Keep the master line consistent. Do not mix multiple master taglines in the same global component.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Multiple competing taglines in the top navigation, footer, or logo lockup.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zjceop83b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Copy Hierarchy for Designers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 Copy Direction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 brand lockup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Zoiko Local</w:t>
            </w:r>
            <w:r w:rsidDel="00000000" w:rsidR="00000000" w:rsidRPr="00000000">
              <w:rPr>
                <w:rtl w:val="0"/>
              </w:rPr>
              <w:t xml:space="preserve"> \n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Sound Local. Stay 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hero / B2B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local number. Work anywhere.</w:t>
            </w:r>
            <w:r w:rsidDel="00000000" w:rsidR="00000000" w:rsidRPr="00000000">
              <w:rPr>
                <w:rtl w:val="0"/>
              </w:rPr>
              <w:t xml:space="preserve"> \nBuild local presence, route calls professionally, and stay reachable across markets.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hero / consumer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Sound Local. Stay Close.</w:t>
            </w:r>
            <w:r w:rsidDel="00000000" w:rsidR="00000000" w:rsidRPr="00000000">
              <w:rPr>
                <w:rtl w:val="0"/>
              </w:rPr>
              <w:t xml:space="preserve"> \nKeep a local number for the people, places, and services that matter wherever life takes you.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Footer brand 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Zoiko Local helps people and businesses get local numbers, make and receive calls, use video, and manage modern communication from anywhere.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2vjx5yha5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Implementation Rules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b w:val="1"/>
          <w:bCs w:val="1"/>
          <w:rtl w:val="0"/>
        </w:rPr>
        <w:t xml:space="preserve">“Be Local. Anywhere.”</w:t>
      </w:r>
      <w:r w:rsidDel="00000000" w:rsidR="00000000" w:rsidRPr="00000000">
        <w:rPr>
          <w:rtl w:val="0"/>
        </w:rPr>
        <w:t xml:space="preserve"> because it is unavailable and must be removed from all brand, website, deck, and social-bio assets.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</w:t>
      </w:r>
      <w:r w:rsidDel="00000000" w:rsidR="00000000" w:rsidRPr="00000000">
        <w:rPr>
          <w:b w:val="1"/>
          <w:bCs w:val="1"/>
          <w:rtl w:val="0"/>
        </w:rPr>
        <w:t xml:space="preserve">“Local Presence. Global Scale.”</w:t>
      </w:r>
      <w:r w:rsidDel="00000000" w:rsidR="00000000" w:rsidRPr="00000000">
        <w:rPr>
          <w:rtl w:val="0"/>
        </w:rPr>
        <w:t xml:space="preserve"> as the Zoiko Local master tagline because it is not part of the approved Claude-return architecture and has been rejected for this implementation pass.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Master line only once per major page unless the page is an identity or brand page. Repetition reduces the premium feel.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sales pages, let the CTA do the commercial work: </w:t>
      </w:r>
      <w:r w:rsidDel="00000000" w:rsidR="00000000" w:rsidRPr="00000000">
        <w:rPr>
          <w:b w:val="1"/>
          <w:bCs w:val="1"/>
          <w:rtl w:val="0"/>
        </w:rPr>
        <w:t xml:space="preserve">Get a Local 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Start Free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Compare Plans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Contact Sales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Switch from Skype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capitalization exactly as shown: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Sound Local. Stay Close.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local number. Work anywhere.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sxuorx64z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Final Designer Instruction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only the tagline and supporting tagline hierarchy. Do not redesign the page structure. Do not add new navigation items. Do not introduce alternative tagline candidates.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locked system is: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 — Sound Local. Stay Close.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Business — Your local number. Work anywhere.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Personal — Sound Local. Stay Close.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