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b1220"/>
          <w:sz w:val="50"/>
          <w:szCs w:val="50"/>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f5a623"/>
          <w:sz w:val="30"/>
          <w:szCs w:val="30"/>
          <w:rtl w:val="0"/>
        </w:rPr>
        <w:t xml:space="preserve">Master Architecture &amp; Build Doctrine — Orientation Document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18"/>
          <w:szCs w:val="18"/>
          <w:rtl w:val="0"/>
        </w:rPr>
        <w:t xml:space="preserve">World-Class Engineering Orientation  | Professional LLM Standards</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0b1220" w:val="clear"/>
          </w:tcPr>
          <w:p w:rsidR="00000000" w:rsidDel="00000000" w:rsidP="00000000" w:rsidRDefault="00000000" w:rsidRPr="00000000" w14:paraId="00000004">
            <w:pPr>
              <w:spacing w:after="0" w:lineRule="auto"/>
              <w:rPr/>
            </w:pPr>
            <w:r w:rsidDel="00000000" w:rsidR="00000000" w:rsidRPr="00000000">
              <w:rPr>
                <w:rFonts w:ascii="Aptos" w:cs="Aptos" w:eastAsia="Aptos" w:hAnsi="Aptos"/>
                <w:b w:val="1"/>
                <w:bCs w:val="1"/>
                <w:color w:val="ffffff"/>
                <w:sz w:val="17"/>
                <w:szCs w:val="17"/>
                <w:rtl w:val="0"/>
              </w:rPr>
              <w:t xml:space="preserve">Document ID</w:t>
            </w:r>
            <w:r w:rsidDel="00000000" w:rsidR="00000000" w:rsidRPr="00000000">
              <w:rPr>
                <w:rtl w:val="0"/>
              </w:rPr>
            </w:r>
          </w:p>
        </w:tc>
        <w:tc>
          <w:tcPr>
            <w:shd w:fill="f8f6f1" w:val="clea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0"/>
                <w:bCs w:val="0"/>
                <w:color w:val="1f2933"/>
                <w:sz w:val="17"/>
                <w:szCs w:val="17"/>
                <w:rtl w:val="0"/>
              </w:rPr>
              <w:t xml:space="preserve">ZL-OV-01</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color w:val="ffffff"/>
                <w:sz w:val="17"/>
                <w:szCs w:val="17"/>
                <w:rtl w:val="0"/>
              </w:rPr>
              <w:t xml:space="preserve">Classification</w:t>
            </w:r>
            <w:r w:rsidDel="00000000" w:rsidR="00000000" w:rsidRPr="00000000">
              <w:rPr>
                <w:rtl w:val="0"/>
              </w:rPr>
            </w:r>
          </w:p>
        </w:tc>
        <w:tc>
          <w:tcPr>
            <w:shd w:fill="f8f6f1" w:val="clea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0"/>
                <w:bCs w:val="0"/>
                <w:color w:val="1f2933"/>
                <w:sz w:val="17"/>
                <w:szCs w:val="17"/>
                <w:rtl w:val="0"/>
              </w:rPr>
              <w:t xml:space="preserve">Confidential — Engineering Leadership, CTO, Product, Security, Risk, QA</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shd w:fill="f8f6f1" w:val="clea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0"/>
                <w:bCs w:val="0"/>
                <w:color w:val="1f2933"/>
                <w:sz w:val="17"/>
                <w:szCs w:val="17"/>
                <w:rtl w:val="0"/>
              </w:rPr>
              <w:t xml:space="preserve">Founder (Lennox McLeod) — Technical Lead to co-sign on issue</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ffffff"/>
                <w:sz w:val="17"/>
                <w:szCs w:val="17"/>
                <w:rtl w:val="0"/>
              </w:rPr>
              <w:t xml:space="preserve">Version</w:t>
            </w:r>
            <w:r w:rsidDel="00000000" w:rsidR="00000000" w:rsidRPr="00000000">
              <w:rPr>
                <w:rtl w:val="0"/>
              </w:rPr>
            </w:r>
          </w:p>
        </w:tc>
        <w:tc>
          <w:tcPr>
            <w:shd w:fill="f8f6f1" w:val="clea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color w:val="1f2933"/>
                <w:sz w:val="17"/>
                <w:szCs w:val="17"/>
                <w:rtl w:val="0"/>
              </w:rPr>
              <w:t xml:space="preserve">1.0 — Board-aligned orientation document</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f8f6f1" w:val="clea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color w:val="1f2933"/>
                <w:sz w:val="17"/>
                <w:szCs w:val="17"/>
                <w:rtl w:val="0"/>
              </w:rPr>
              <w:t xml:space="preserve">Orientation / Build-Doctrine Document — not a controlled implementation specification</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ffffff"/>
                <w:sz w:val="17"/>
                <w:szCs w:val="17"/>
                <w:rtl w:val="0"/>
              </w:rPr>
              <w:t xml:space="preserve">Master Language</w:t>
            </w:r>
            <w:r w:rsidDel="00000000" w:rsidR="00000000" w:rsidRPr="00000000">
              <w:rPr>
                <w:rtl w:val="0"/>
              </w:rPr>
            </w:r>
          </w:p>
        </w:tc>
        <w:tc>
          <w:tcPr>
            <w:shd w:fill="f8f6f1" w:val="clea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color w:val="1f2933"/>
                <w:sz w:val="17"/>
                <w:szCs w:val="17"/>
                <w:rtl w:val="0"/>
              </w:rPr>
              <w:t xml:space="preserve">American English; localization-ready for global platform expansion</w:t>
            </w:r>
            <w:r w:rsidDel="00000000" w:rsidR="00000000" w:rsidRPr="00000000">
              <w:rPr>
                <w:rtl w:val="0"/>
              </w:rPr>
            </w:r>
          </w:p>
        </w:tc>
      </w:tr>
      <w:tr>
        <w:trPr>
          <w:cantSplit w:val="1"/>
          <w:tblHeader w:val="0"/>
        </w:trPr>
        <w:tc>
          <w:tcPr>
            <w:shd w:fill="0b1220" w:val="clea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ffffff"/>
                <w:sz w:val="17"/>
                <w:szCs w:val="17"/>
                <w:rtl w:val="0"/>
              </w:rPr>
              <w:t xml:space="preserve">Cross-Reference</w:t>
            </w:r>
            <w:r w:rsidDel="00000000" w:rsidR="00000000" w:rsidRPr="00000000">
              <w:rPr>
                <w:rtl w:val="0"/>
              </w:rPr>
            </w:r>
          </w:p>
        </w:tc>
        <w:tc>
          <w:tcPr>
            <w:shd w:fill="f8f6f1" w:val="clea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1f2933"/>
                <w:sz w:val="17"/>
                <w:szCs w:val="17"/>
                <w:rtl w:val="0"/>
              </w:rPr>
              <w:t xml:space="preserve">ZoikoLogia™ Document Control Register v1.0 and approved downstream specifications</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b122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b1220"/>
          <w:sz w:val="20"/>
          <w:szCs w:val="20"/>
          <w:u w:val="none"/>
          <w:shd w:fill="auto" w:val="clear"/>
          <w:vertAlign w:val="baseline"/>
          <w:rtl w:val="0"/>
        </w:rPr>
        <w:t xml:space="preserve">Core engineering principle:</w:t>
      </w:r>
    </w:p>
    <w:p w:rsidR="00000000" w:rsidDel="00000000" w:rsidP="00000000" w:rsidRDefault="00000000" w:rsidRPr="00000000" w14:paraId="00000013">
      <w:pPr>
        <w:rPr/>
      </w:pPr>
      <w:r w:rsidDel="00000000" w:rsidR="00000000" w:rsidRPr="00000000">
        <w:rPr>
          <w:b w:val="1"/>
          <w:bCs w:val="1"/>
          <w:color w:val="0b1220"/>
          <w:rtl w:val="0"/>
        </w:rPr>
        <w:t xml:space="preserve">Every answer must be retrievable, traceable, auditable, and defensible. If the system cannot log it, explain it, justify it, and reproduce it, it must not ship.</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0. What This Document Is — and Is Not</w:t>
      </w:r>
    </w:p>
    <w:p w:rsidR="00000000" w:rsidDel="00000000" w:rsidP="00000000" w:rsidRDefault="00000000" w:rsidRPr="00000000" w14:paraId="00000016">
      <w:pPr>
        <w:rPr/>
      </w:pPr>
      <w:r w:rsidDel="00000000" w:rsidR="00000000" w:rsidRPr="00000000">
        <w:rPr>
          <w:rtl w:val="0"/>
        </w:rPr>
        <w:t xml:space="preserve">This is the orientation document engineering leadership reads first. It states doctrine, explains the system at a summary level, reconciles the build approach with the controlled document estate, and points each governed detail to its controlling document.</w:t>
      </w:r>
    </w:p>
    <w:p w:rsidR="00000000" w:rsidDel="00000000" w:rsidP="00000000" w:rsidRDefault="00000000" w:rsidRPr="00000000" w14:paraId="00000017">
      <w:pPr>
        <w:rPr/>
      </w:pPr>
      <w:r w:rsidDel="00000000" w:rsidR="00000000" w:rsidRPr="00000000">
        <w:rPr>
          <w:rtl w:val="0"/>
        </w:rPr>
        <w:t xml:space="preserve">This document is not a substitute for the Tier-0 and Tier-1 controlled specifications. It must not be cited as the controlling authority for back-end architecture, retrieval-augmented generation, risk classification, data model, audit logging, ZoikoSuite integration, testing, security, privacy, or release gates where a dedicated Document ID exists.</w:t>
      </w:r>
    </w:p>
    <w:p w:rsidR="00000000" w:rsidDel="00000000" w:rsidP="00000000" w:rsidRDefault="00000000" w:rsidRPr="00000000" w14:paraId="00000018">
      <w:pPr>
        <w:rPr/>
      </w:pPr>
      <w:r w:rsidDel="00000000" w:rsidR="00000000" w:rsidRPr="00000000">
        <w:rPr>
          <w:rtl w:val="0"/>
        </w:rPr>
        <w:t xml:space="preserve">The purpose of this document is to prevent engineering drift. It tells the team what kind of platform they are building, what not to build, and where to find the authoritative implementation detail.</w:t>
      </w:r>
    </w:p>
    <w:p w:rsidR="00000000" w:rsidDel="00000000" w:rsidP="00000000" w:rsidRDefault="00000000" w:rsidRPr="00000000" w14:paraId="00000019">
      <w:pPr>
        <w:pStyle w:val="Heading2"/>
        <w:rPr/>
      </w:pPr>
      <w:r w:rsidDel="00000000" w:rsidR="00000000" w:rsidRPr="00000000">
        <w:rPr>
          <w:rtl w:val="0"/>
        </w:rPr>
        <w:t xml:space="preserve">0.1 Naming Control</w:t>
      </w:r>
    </w:p>
    <w:p w:rsidR="00000000" w:rsidDel="00000000" w:rsidP="00000000" w:rsidRDefault="00000000" w:rsidRPr="00000000" w14:paraId="0000001A">
      <w:pPr>
        <w:rPr/>
      </w:pPr>
      <w:r w:rsidDel="00000000" w:rsidR="00000000" w:rsidRPr="00000000">
        <w:rPr>
          <w:rtl w:val="0"/>
        </w:rPr>
        <w:t xml:space="preserve">The approved platform name is ZoikoLogia™. The approved AI advisor name is Kriton™. The locked naming hierarchy is ZoikoLogia™ as primary platform name, ZoikoLogic™ as platform fallback, and ZoikoLogik™ only as final reserve. Kriton™ is the primary advisor name, with Logikus™ as fallback.</w:t>
      </w:r>
    </w:p>
    <w:p w:rsidR="00000000" w:rsidDel="00000000" w:rsidP="00000000" w:rsidRDefault="00000000" w:rsidRPr="00000000" w14:paraId="0000001B">
      <w:pPr>
        <w:rPr/>
      </w:pPr>
      <w:r w:rsidDel="00000000" w:rsidR="00000000" w:rsidRPr="00000000">
        <w:rPr>
          <w:rtl w:val="0"/>
        </w:rPr>
        <w:t xml:space="preserve">No other spelling, variant, or unofficial name is approved for product, engineering, legal, investor, website, UI, API, repository, or internal documentation use.</w:t>
      </w:r>
    </w:p>
    <w:p w:rsidR="00000000" w:rsidDel="00000000" w:rsidP="00000000" w:rsidRDefault="00000000" w:rsidRPr="00000000" w14:paraId="0000001C">
      <w:pPr>
        <w:pStyle w:val="Heading1"/>
        <w:rPr/>
      </w:pPr>
      <w:r w:rsidDel="00000000" w:rsidR="00000000" w:rsidRPr="00000000">
        <w:rPr>
          <w:rtl w:val="0"/>
        </w:rPr>
        <w:t xml:space="preserve">1. Core Engineering Doctrine</w:t>
      </w:r>
    </w:p>
    <w:p w:rsidR="00000000" w:rsidDel="00000000" w:rsidP="00000000" w:rsidRDefault="00000000" w:rsidRPr="00000000" w14:paraId="0000001D">
      <w:pPr>
        <w:rPr/>
      </w:pPr>
      <w:r w:rsidDel="00000000" w:rsidR="00000000" w:rsidRPr="00000000">
        <w:rPr>
          <w:rtl w:val="0"/>
        </w:rPr>
        <w:t xml:space="preserve">Do not build a chatbot. Build a governed professional answer system. Kriton™ retrieves, explains, documents, flags risk, and escalates. ZoikoLogia™ is the controlled platform that makes Kriton™ safe, useful, source-backed, and auditable.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b122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b1220"/>
          <w:sz w:val="20"/>
          <w:szCs w:val="20"/>
          <w:u w:val="none"/>
          <w:shd w:fill="auto" w:val="clear"/>
          <w:vertAlign w:val="baseline"/>
          <w:rtl w:val="0"/>
        </w:rPr>
        <w:t xml:space="preserve">Non-negotiable build rule:</w:t>
      </w:r>
    </w:p>
    <w:p w:rsidR="00000000" w:rsidDel="00000000" w:rsidP="00000000" w:rsidRDefault="00000000" w:rsidRPr="00000000" w14:paraId="0000001F">
      <w:pPr>
        <w:rPr/>
      </w:pPr>
      <w:r w:rsidDel="00000000" w:rsidR="00000000" w:rsidRPr="00000000">
        <w:rPr>
          <w:rtl w:val="0"/>
        </w:rPr>
        <w:t xml:space="preserve">For technical or regulated topics, the system must retrieve first, validate source rights and effective dates, compose through controlled templates, classify risk, cite the source basis, log the answer, and escalate when required.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b122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b1220"/>
          <w:sz w:val="20"/>
          <w:szCs w:val="20"/>
          <w:u w:val="none"/>
          <w:shd w:fill="auto" w:val="clear"/>
          <w:vertAlign w:val="baseline"/>
          <w:rtl w:val="0"/>
        </w:rPr>
        <w:t xml:space="preserve">Build sequence:</w:t>
      </w:r>
    </w:p>
    <w:p w:rsidR="00000000" w:rsidDel="00000000" w:rsidP="00000000" w:rsidRDefault="00000000" w:rsidRPr="00000000" w14:paraId="00000021">
      <w:pPr>
        <w:rPr/>
      </w:pPr>
      <w:r w:rsidDel="00000000" w:rsidR="00000000" w:rsidRPr="00000000">
        <w:rPr>
          <w:rtl w:val="0"/>
        </w:rPr>
        <w:t xml:space="preserve">Governance first. Sources second. Retrieval third. Risk fourth. Audit fifth. Interface last.</w:t>
      </w:r>
    </w:p>
    <w:p w:rsidR="00000000" w:rsidDel="00000000" w:rsidP="00000000" w:rsidRDefault="00000000" w:rsidRPr="00000000" w14:paraId="00000022">
      <w:pPr>
        <w:pStyle w:val="Heading1"/>
        <w:rPr/>
      </w:pPr>
      <w:r w:rsidDel="00000000" w:rsidR="00000000" w:rsidRPr="00000000">
        <w:rPr>
          <w:rtl w:val="0"/>
        </w:rPr>
        <w:t xml:space="preserve">2. System Map — Summary Only</w:t>
      </w:r>
    </w:p>
    <w:p w:rsidR="00000000" w:rsidDel="00000000" w:rsidP="00000000" w:rsidRDefault="00000000" w:rsidRPr="00000000" w14:paraId="00000023">
      <w:pPr>
        <w:rPr/>
      </w:pPr>
      <w:r w:rsidDel="00000000" w:rsidR="00000000" w:rsidRPr="00000000">
        <w:rPr>
          <w:rtl w:val="0"/>
        </w:rPr>
        <w:t xml:space="preserve">The table below is an orientation map. It does not replace the controlling documents listed in the Document Control Register.</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0b1220" w:val="cle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ffffff"/>
                <w:sz w:val="16"/>
                <w:szCs w:val="16"/>
                <w:rtl w:val="0"/>
              </w:rPr>
              <w:t xml:space="preserve">System</w:t>
            </w:r>
            <w:r w:rsidDel="00000000" w:rsidR="00000000" w:rsidRPr="00000000">
              <w:rPr>
                <w:rtl w:val="0"/>
              </w:rPr>
            </w:r>
          </w:p>
        </w:tc>
        <w:tc>
          <w:tcPr>
            <w:shd w:fill="0b1220" w:val="cle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ffffff"/>
                <w:sz w:val="16"/>
                <w:szCs w:val="16"/>
                <w:rtl w:val="0"/>
              </w:rPr>
              <w:t xml:space="preserve">Function</w:t>
            </w:r>
            <w:r w:rsidDel="00000000" w:rsidR="00000000" w:rsidRPr="00000000">
              <w:rPr>
                <w:rtl w:val="0"/>
              </w:rPr>
            </w:r>
          </w:p>
        </w:tc>
        <w:tc>
          <w:tcPr>
            <w:shd w:fill="0b1220" w:val="clea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ffffff"/>
                <w:sz w:val="16"/>
                <w:szCs w:val="16"/>
                <w:rtl w:val="0"/>
              </w:rPr>
              <w:t xml:space="preserve">Controlling Document</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0b1220"/>
                <w:sz w:val="15"/>
                <w:szCs w:val="15"/>
                <w:rtl w:val="0"/>
              </w:rPr>
              <w:t xml:space="preserve">Knowledge System</w:t>
            </w:r>
            <w:r w:rsidDel="00000000" w:rsidR="00000000" w:rsidRPr="00000000">
              <w:rPr>
                <w:rtl w:val="0"/>
              </w:rPr>
            </w:r>
          </w:p>
        </w:tc>
        <w:tc>
          <w:tcPr>
            <w:shd w:fill="f8f6f1" w:val="clea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1f2933"/>
                <w:sz w:val="15"/>
                <w:szCs w:val="15"/>
                <w:rtl w:val="0"/>
              </w:rPr>
              <w:t xml:space="preserve">Approved standards, syllabuses, examples, licensing, source rights, version control, and source metadata.</w:t>
            </w:r>
            <w:r w:rsidDel="00000000" w:rsidR="00000000" w:rsidRPr="00000000">
              <w:rPr>
                <w:rtl w:val="0"/>
              </w:rPr>
            </w:r>
          </w:p>
        </w:tc>
        <w:tc>
          <w:tcPr>
            <w:shd w:fill="f8f6f1" w:val="clea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1f2933"/>
                <w:sz w:val="15"/>
                <w:szCs w:val="15"/>
                <w:rtl w:val="0"/>
              </w:rPr>
              <w:t xml:space="preserve">ZL-T0-01 Source Library and Licensing Register; ZL-T1-06 Knowledge Graph and Accounting Ontology</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0b1220"/>
                <w:sz w:val="15"/>
                <w:szCs w:val="15"/>
                <w:rtl w:val="0"/>
              </w:rPr>
              <w:t xml:space="preserve">Retrieval Engine</w:t>
            </w:r>
            <w:r w:rsidDel="00000000" w:rsidR="00000000" w:rsidRPr="00000000">
              <w:rPr>
                <w:rtl w:val="0"/>
              </w:rPr>
            </w:r>
          </w:p>
        </w:tc>
        <w:tc>
          <w:tcPr>
            <w:shd w:fill="ffffff" w:val="clea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1f2933"/>
                <w:sz w:val="15"/>
                <w:szCs w:val="15"/>
                <w:rtl w:val="0"/>
              </w:rPr>
              <w:t xml:space="preserve">Hybrid retrieval by topic, authority, jurisdiction, source rights, effective date, confidence, and user mode.</w:t>
            </w:r>
            <w:r w:rsidDel="00000000" w:rsidR="00000000" w:rsidRPr="00000000">
              <w:rPr>
                <w:rtl w:val="0"/>
              </w:rPr>
            </w:r>
          </w:p>
        </w:tc>
        <w:tc>
          <w:tcPr>
            <w:shd w:fill="ffffff" w:val="clea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1f2933"/>
                <w:sz w:val="15"/>
                <w:szCs w:val="15"/>
                <w:rtl w:val="0"/>
              </w:rPr>
              <w:t xml:space="preserve">ZL-T0-03 Retrieval-Augmented Generation Specification</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0b1220"/>
                <w:sz w:val="15"/>
                <w:szCs w:val="15"/>
                <w:rtl w:val="0"/>
              </w:rPr>
              <w:t xml:space="preserve">Answer Composition Engine</w:t>
            </w:r>
            <w:r w:rsidDel="00000000" w:rsidR="00000000" w:rsidRPr="00000000">
              <w:rPr>
                <w:rtl w:val="0"/>
              </w:rPr>
            </w:r>
          </w:p>
        </w:tc>
        <w:tc>
          <w:tcPr>
            <w:shd w:fill="f8f6f1" w:val="clea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1f2933"/>
                <w:sz w:val="15"/>
                <w:szCs w:val="15"/>
                <w:rtl w:val="0"/>
              </w:rPr>
              <w:t xml:space="preserve">Controlled templates for Learning, Practice, Workflow, and Review modes; Kriton™ answer structure.</w:t>
            </w:r>
            <w:r w:rsidDel="00000000" w:rsidR="00000000" w:rsidRPr="00000000">
              <w:rPr>
                <w:rtl w:val="0"/>
              </w:rPr>
            </w:r>
          </w:p>
        </w:tc>
        <w:tc>
          <w:tcPr>
            <w:shd w:fill="f8f6f1" w:val="clea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f2933"/>
                <w:sz w:val="15"/>
                <w:szCs w:val="15"/>
                <w:rtl w:val="0"/>
              </w:rPr>
              <w:t xml:space="preserve">ZL-T1-04 Prompt, Policy, and Answer Template Specification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1"/>
                <w:bCs w:val="1"/>
                <w:color w:val="0b1220"/>
                <w:sz w:val="15"/>
                <w:szCs w:val="15"/>
                <w:rtl w:val="0"/>
              </w:rPr>
              <w:t xml:space="preserve">Risk &amp; Escalation Engine</w:t>
            </w:r>
            <w:r w:rsidDel="00000000" w:rsidR="00000000" w:rsidRPr="00000000">
              <w:rPr>
                <w:rtl w:val="0"/>
              </w:rPr>
            </w:r>
          </w:p>
        </w:tc>
        <w:tc>
          <w:tcPr>
            <w:shd w:fill="ffffff" w:val="clea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1f2933"/>
                <w:sz w:val="15"/>
                <w:szCs w:val="15"/>
                <w:rtl w:val="0"/>
              </w:rPr>
              <w:t xml:space="preserve">Risk classification, professional boundary controls, restricted-answer handling, and human escalation routing.</w:t>
            </w:r>
            <w:r w:rsidDel="00000000" w:rsidR="00000000" w:rsidRPr="00000000">
              <w:rPr>
                <w:rtl w:val="0"/>
              </w:rPr>
            </w:r>
          </w:p>
        </w:tc>
        <w:tc>
          <w:tcPr>
            <w:shd w:fill="ffffff" w:val="clea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1f2933"/>
                <w:sz w:val="15"/>
                <w:szCs w:val="15"/>
                <w:rtl w:val="0"/>
              </w:rPr>
              <w:t xml:space="preserve">ZL-T0-04 AI Safety, Risk Classification, and Escalation Specification</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1"/>
                <w:bCs w:val="1"/>
                <w:color w:val="0b1220"/>
                <w:sz w:val="15"/>
                <w:szCs w:val="15"/>
                <w:rtl w:val="0"/>
              </w:rPr>
              <w:t xml:space="preserve">Audit &amp; Governance System</w:t>
            </w:r>
            <w:r w:rsidDel="00000000" w:rsidR="00000000" w:rsidRPr="00000000">
              <w:rPr>
                <w:rtl w:val="0"/>
              </w:rPr>
            </w:r>
          </w:p>
        </w:tc>
        <w:tc>
          <w:tcPr>
            <w:shd w:fill="f8f6f1" w:val="clea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color w:val="1f2933"/>
                <w:sz w:val="15"/>
                <w:szCs w:val="15"/>
                <w:rtl w:val="0"/>
              </w:rPr>
              <w:t xml:space="preserve">Immutable records for query, source bundle, answer, model/prompt version, risk, escalation, and feedback.</w:t>
            </w:r>
            <w:r w:rsidDel="00000000" w:rsidR="00000000" w:rsidRPr="00000000">
              <w:rPr>
                <w:rtl w:val="0"/>
              </w:rPr>
            </w:r>
          </w:p>
        </w:tc>
        <w:tc>
          <w:tcPr>
            <w:shd w:fill="f8f6f1" w:val="clea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color w:val="1f2933"/>
                <w:sz w:val="15"/>
                <w:szCs w:val="15"/>
                <w:rtl w:val="0"/>
              </w:rPr>
              <w:t xml:space="preserve">ZL-T0-07 Audit Logging and Evidence Ledger Specification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0b1220"/>
                <w:sz w:val="15"/>
                <w:szCs w:val="15"/>
                <w:rtl w:val="0"/>
              </w:rPr>
              <w:t xml:space="preserve">ZoikoSuite Integration Layer</w:t>
            </w:r>
            <w:r w:rsidDel="00000000" w:rsidR="00000000" w:rsidRPr="00000000">
              <w:rPr>
                <w:rtl w:val="0"/>
              </w:rPr>
            </w:r>
          </w:p>
        </w:tc>
        <w:tc>
          <w:tcPr>
            <w:shd w:fill="ffffff" w:val="clea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color w:val="1f2933"/>
                <w:sz w:val="15"/>
                <w:szCs w:val="15"/>
                <w:rtl w:val="0"/>
              </w:rPr>
              <w:t xml:space="preserve">Workflow-native guidance, tenant-isolated context, in-product prompts, source panels, and review handoffs.</w:t>
            </w:r>
            <w:r w:rsidDel="00000000" w:rsidR="00000000" w:rsidRPr="00000000">
              <w:rPr>
                <w:rtl w:val="0"/>
              </w:rPr>
            </w:r>
          </w:p>
        </w:tc>
        <w:tc>
          <w:tcPr>
            <w:shd w:fill="ffffff" w:val="clea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color w:val="1f2933"/>
                <w:sz w:val="15"/>
                <w:szCs w:val="15"/>
                <w:rtl w:val="0"/>
              </w:rPr>
              <w:t xml:space="preserve">ZL-T1-14 ZoikoSuite Integration Architecture — Phase 2 after core governance gates pass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0b1220"/>
                <w:sz w:val="15"/>
                <w:szCs w:val="15"/>
                <w:rtl w:val="0"/>
              </w:rPr>
              <w:t xml:space="preserve">Data and Schema Layer</w:t>
            </w:r>
            <w:r w:rsidDel="00000000" w:rsidR="00000000" w:rsidRPr="00000000">
              <w:rPr>
                <w:rtl w:val="0"/>
              </w:rPr>
            </w:r>
          </w:p>
        </w:tc>
        <w:tc>
          <w:tcPr>
            <w:shd w:fill="f8f6f1" w:val="clea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color w:val="1f2933"/>
                <w:sz w:val="15"/>
                <w:szCs w:val="15"/>
                <w:rtl w:val="0"/>
              </w:rPr>
              <w:t xml:space="preserve">Source schemas, answer logs, user/role models, syllabus mappings, risk states, and integration records.</w:t>
            </w:r>
            <w:r w:rsidDel="00000000" w:rsidR="00000000" w:rsidRPr="00000000">
              <w:rPr>
                <w:rtl w:val="0"/>
              </w:rPr>
            </w:r>
          </w:p>
        </w:tc>
        <w:tc>
          <w:tcPr>
            <w:shd w:fill="f8f6f1" w:val="clea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color w:val="1f2933"/>
                <w:sz w:val="15"/>
                <w:szCs w:val="15"/>
                <w:rtl w:val="0"/>
              </w:rPr>
              <w:t xml:space="preserve">ZL-T0-06 Data Model and Database Schema Specification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0b1220"/>
                <w:sz w:val="15"/>
                <w:szCs w:val="15"/>
                <w:rtl w:val="0"/>
              </w:rPr>
              <w:t xml:space="preserve">Security and Privacy Layer</w:t>
            </w:r>
            <w:r w:rsidDel="00000000" w:rsidR="00000000" w:rsidRPr="00000000">
              <w:rPr>
                <w:rtl w:val="0"/>
              </w:rPr>
            </w:r>
          </w:p>
        </w:tc>
        <w:tc>
          <w:tcPr>
            <w:shd w:fill="ffffff" w:val="clea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color w:val="1f2933"/>
                <w:sz w:val="15"/>
                <w:szCs w:val="15"/>
                <w:rtl w:val="0"/>
              </w:rPr>
              <w:t xml:space="preserve">Identity, tenant isolation, data minimization, encryption, data retention, threat model, and incident response.</w:t>
            </w:r>
            <w:r w:rsidDel="00000000" w:rsidR="00000000" w:rsidRPr="00000000">
              <w:rPr>
                <w:rtl w:val="0"/>
              </w:rPr>
            </w:r>
          </w:p>
        </w:tc>
        <w:tc>
          <w:tcPr>
            <w:shd w:fill="ffffff" w:val="clea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color w:val="1f2933"/>
                <w:sz w:val="15"/>
                <w:szCs w:val="15"/>
                <w:rtl w:val="0"/>
              </w:rPr>
              <w:t xml:space="preserve">ZL-T0-09 Privacy, Security, and Data Protection; ZL-T1-10 Security Architecture and Threat Model</w:t>
            </w:r>
            <w:r w:rsidDel="00000000" w:rsidR="00000000" w:rsidRPr="00000000">
              <w:rPr>
                <w:rtl w:val="0"/>
              </w:rPr>
            </w:r>
          </w:p>
        </w:tc>
      </w:tr>
    </w:tbl>
    <w:p w:rsidR="00000000" w:rsidDel="00000000" w:rsidP="00000000" w:rsidRDefault="00000000" w:rsidRPr="00000000" w14:paraId="0000003F">
      <w:pPr>
        <w:pStyle w:val="Heading2"/>
        <w:rPr/>
      </w:pPr>
      <w:r w:rsidDel="00000000" w:rsidR="00000000" w:rsidRPr="00000000">
        <w:rPr>
          <w:rtl w:val="0"/>
        </w:rPr>
        <w:t xml:space="preserve">2.1 Orientation-Level Architecture Flow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0" w:firstLine="0"/>
        <w:jc w:val="left"/>
        <w:rPr>
          <w:rFonts w:ascii="Consolas" w:cs="Consolas" w:eastAsia="Consolas" w:hAnsi="Consolas"/>
          <w:b w:val="0"/>
          <w:bCs w:val="0"/>
          <w:i w:val="0"/>
          <w:iCs w:val="0"/>
          <w:smallCaps w:val="0"/>
          <w:strike w:val="0"/>
          <w:color w:val="1f2933"/>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3"/>
          <w:sz w:val="16"/>
          <w:szCs w:val="16"/>
          <w:u w:val="none"/>
          <w:shd w:fill="auto" w:val="clear"/>
          <w:vertAlign w:val="baseline"/>
          <w:rtl w:val="0"/>
        </w:rPr>
        <w:t xml:space="preserve">User Interface Layer -&gt; Query Classification &amp; Routing -&gt; Retrieval + Risk + Escalation -&gt; Kriton™ Answer Composition -&gt; Knowledge Layer -&gt; Governance &amp; Audit Layer</w:t>
      </w:r>
    </w:p>
    <w:p w:rsidR="00000000" w:rsidDel="00000000" w:rsidP="00000000" w:rsidRDefault="00000000" w:rsidRPr="00000000" w14:paraId="00000041">
      <w:pPr>
        <w:rPr/>
      </w:pPr>
      <w:r w:rsidDel="00000000" w:rsidR="00000000" w:rsidRPr="00000000">
        <w:rPr>
          <w:rtl w:val="0"/>
        </w:rPr>
        <w:t xml:space="preserve">Full service boundaries, payloads, APIs, schemas, and deployment choices live in the back-end, data model, API, RAG, security, and integration specifications. This document intentionally does not duplicate them.</w:t>
      </w:r>
    </w:p>
    <w:p w:rsidR="00000000" w:rsidDel="00000000" w:rsidP="00000000" w:rsidRDefault="00000000" w:rsidRPr="00000000" w14:paraId="00000042">
      <w:pPr>
        <w:pStyle w:val="Heading1"/>
        <w:rPr/>
      </w:pPr>
      <w:r w:rsidDel="00000000" w:rsidR="00000000" w:rsidRPr="00000000">
        <w:rPr>
          <w:rtl w:val="0"/>
        </w:rPr>
        <w:t xml:space="preserve">3. Critical Constraints Across All Downstream Documents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No open-ended generation for regulated content. Kriton™ explains retrieved content; it does not invent standards, tax rules, audit requirements, payroll guidance, or syllabus content.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Classification must be multi-method. Use LLM-assisted classification, deterministic rules, source-aware topic mapping, and confidence-gated clarification. A single classifier model is not acceptable for production.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Source licensing is a hard blocking dependency. No professional-body syllabus, official training material, standard, or proprietary content may be ingested, embedded, summarized, or displayed ahead of rights clearance.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Compliance claims are readiness targets until certified. SOC 2, ISO 27001, GDPR, and similar claims must be stated as readiness or alignment until formally certified or legally confirmed.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Deterministic calculation, not LLM arithmetic. Kriton™ may draft explanations, but amounts, schedules, ratios, tax illustrations, and journal-entry calculations must be produced or validated by deterministic services.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Tenant isolation is non-negotiable and independently gated. No ZoikoSuite integration may proceed until tenant-isolation and context-access tests pass as blocking release gates.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Every material answer must be logged, source-bundled, versioned, and reproducible. If reproducibility fails, the release fails.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master content language is American English; architecture must support localization, translated source metadata, multilingual UI strings, jurisdiction-specific terminology, and locale-aware formatting without changing source-control rules.</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4. Risk Engine — Doctrine Summary</w:t>
      </w:r>
    </w:p>
    <w:p w:rsidR="00000000" w:rsidDel="00000000" w:rsidP="00000000" w:rsidRDefault="00000000" w:rsidRPr="00000000" w14:paraId="0000004C">
      <w:pPr>
        <w:rPr/>
      </w:pPr>
      <w:r w:rsidDel="00000000" w:rsidR="00000000" w:rsidRPr="00000000">
        <w:rPr>
          <w:rtl w:val="0"/>
        </w:rPr>
        <w:t xml:space="preserve">The full input/output contract, deterministic rules, risk taxonomy, restricted-topic list, disclaimer behavior, and escalation routing belong in ZL-T0-04. At doctrine level, risk handling is as follows:</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0b1220" w:val="clea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ffffff"/>
                <w:sz w:val="16"/>
                <w:szCs w:val="16"/>
                <w:rtl w:val="0"/>
              </w:rPr>
              <w:t xml:space="preserve">Risk Level</w:t>
            </w:r>
            <w:r w:rsidDel="00000000" w:rsidR="00000000" w:rsidRPr="00000000">
              <w:rPr>
                <w:rtl w:val="0"/>
              </w:rPr>
            </w:r>
          </w:p>
        </w:tc>
        <w:tc>
          <w:tcPr>
            <w:shd w:fill="0b1220" w:val="clea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1"/>
                <w:bCs w:val="1"/>
                <w:color w:val="ffffff"/>
                <w:sz w:val="16"/>
                <w:szCs w:val="16"/>
                <w:rtl w:val="0"/>
              </w:rPr>
              <w:t xml:space="preserve">Required System Behavior</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0b1220"/>
                <w:sz w:val="16"/>
                <w:szCs w:val="16"/>
                <w:rtl w:val="0"/>
              </w:rPr>
              <w:t xml:space="preserve">Low</w:t>
            </w:r>
            <w:r w:rsidDel="00000000" w:rsidR="00000000" w:rsidRPr="00000000">
              <w:rPr>
                <w:rtl w:val="0"/>
              </w:rPr>
            </w:r>
          </w:p>
        </w:tc>
        <w:tc>
          <w:tcPr>
            <w:shd w:fill="ffffff" w:val="clea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1f2933"/>
                <w:sz w:val="16"/>
                <w:szCs w:val="16"/>
                <w:rtl w:val="0"/>
              </w:rPr>
              <w:t xml:space="preserve">Answer normally with source basis; log the answer.</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1"/>
                <w:bCs w:val="1"/>
                <w:color w:val="0b1220"/>
                <w:sz w:val="16"/>
                <w:szCs w:val="16"/>
                <w:rtl w:val="0"/>
              </w:rPr>
              <w:t xml:space="preserve">Medium</w:t>
            </w:r>
            <w:r w:rsidDel="00000000" w:rsidR="00000000" w:rsidRPr="00000000">
              <w:rPr>
                <w:rtl w:val="0"/>
              </w:rPr>
            </w:r>
          </w:p>
        </w:tc>
        <w:tc>
          <w:tcPr>
            <w:shd w:fill="ffffff" w:val="clea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1f2933"/>
                <w:sz w:val="16"/>
                <w:szCs w:val="16"/>
                <w:rtl w:val="0"/>
              </w:rPr>
              <w:t xml:space="preserve">Answer with judgment points, evidence checklist, confidence limits, and manager-review prompt where relevant.</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0b1220"/>
                <w:sz w:val="16"/>
                <w:szCs w:val="16"/>
                <w:rtl w:val="0"/>
              </w:rPr>
              <w:t xml:space="preserve">High</w:t>
            </w:r>
            <w:r w:rsidDel="00000000" w:rsidR="00000000" w:rsidRPr="00000000">
              <w:rPr>
                <w:rtl w:val="0"/>
              </w:rPr>
            </w:r>
          </w:p>
        </w:tc>
        <w:tc>
          <w:tcPr>
            <w:shd w:fill="ffffff" w:val="clea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f2933"/>
                <w:sz w:val="16"/>
                <w:szCs w:val="16"/>
                <w:rtl w:val="0"/>
              </w:rPr>
              <w:t xml:space="preserve">Provide educational or workflow support only; show limitations; recommend qualified review; log escalation availability.</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0b1220"/>
                <w:sz w:val="16"/>
                <w:szCs w:val="16"/>
                <w:rtl w:val="0"/>
              </w:rPr>
              <w:t xml:space="preserve">Restricted</w:t>
            </w:r>
            <w:r w:rsidDel="00000000" w:rsidR="00000000" w:rsidRPr="00000000">
              <w:rPr>
                <w:rtl w:val="0"/>
              </w:rPr>
            </w:r>
          </w:p>
        </w:tc>
        <w:tc>
          <w:tcPr>
            <w:shd w:fill="ffffff" w:val="clea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1f2933"/>
                <w:sz w:val="16"/>
                <w:szCs w:val="16"/>
                <w:rtl w:val="0"/>
              </w:rPr>
              <w:t xml:space="preserve">Do not provide a definitive answer. Route to qualified professional, restricted workflow, or human review queue.</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t xml:space="preserve">Governance requirement: risk-policy version changes must have a named accountable approver. Recommended owner: AI Risk Committee Chair, with Legal/Risk concurrence and engineering implementation sign-off. Engineering may implement risk policy but must not unilaterally approve production policy changes.</w:t>
      </w:r>
    </w:p>
    <w:p w:rsidR="00000000" w:rsidDel="00000000" w:rsidP="00000000" w:rsidRDefault="00000000" w:rsidRPr="00000000" w14:paraId="00000058">
      <w:pPr>
        <w:pStyle w:val="Heading1"/>
        <w:rPr/>
      </w:pPr>
      <w:r w:rsidDel="00000000" w:rsidR="00000000" w:rsidRPr="00000000">
        <w:rPr>
          <w:rtl w:val="0"/>
        </w:rPr>
        <w:t xml:space="preserve">5. Non-Functional Targets — Corrected and Disambiguated</w:t>
      </w:r>
    </w:p>
    <w:p w:rsidR="00000000" w:rsidDel="00000000" w:rsidP="00000000" w:rsidRDefault="00000000" w:rsidRPr="00000000" w14:paraId="00000059">
      <w:pPr>
        <w:rPr/>
      </w:pPr>
      <w:r w:rsidDel="00000000" w:rsidR="00000000" w:rsidRPr="00000000">
        <w:rPr>
          <w:rtl w:val="0"/>
        </w:rPr>
        <w:t xml:space="preserve">These are orientation-level targets. Contractual service levels and final pass/fail criteria belong in the controlled QA, security, deployment, and commercial documents.</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0b1220" w:val="cle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1"/>
                <w:bCs w:val="1"/>
                <w:color w:val="ffffff"/>
                <w:sz w:val="15"/>
                <w:szCs w:val="15"/>
                <w:rtl w:val="0"/>
              </w:rPr>
              <w:t xml:space="preserve">Metric</w:t>
            </w:r>
            <w:r w:rsidDel="00000000" w:rsidR="00000000" w:rsidRPr="00000000">
              <w:rPr>
                <w:rtl w:val="0"/>
              </w:rPr>
            </w:r>
          </w:p>
        </w:tc>
        <w:tc>
          <w:tcPr>
            <w:shd w:fill="0b1220" w:val="cle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1"/>
                <w:bCs w:val="1"/>
                <w:color w:val="ffffff"/>
                <w:sz w:val="15"/>
                <w:szCs w:val="15"/>
                <w:rtl w:val="0"/>
              </w:rPr>
              <w:t xml:space="preserve">Target</w:t>
            </w:r>
            <w:r w:rsidDel="00000000" w:rsidR="00000000" w:rsidRPr="00000000">
              <w:rPr>
                <w:rtl w:val="0"/>
              </w:rPr>
            </w:r>
          </w:p>
        </w:tc>
        <w:tc>
          <w:tcPr>
            <w:shd w:fill="0b1220" w:val="cle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1"/>
                <w:bCs w:val="1"/>
                <w:color w:val="ffffff"/>
                <w:sz w:val="15"/>
                <w:szCs w:val="15"/>
                <w:rtl w:val="0"/>
              </w:rPr>
              <w:t xml:space="preserve">Population / Scope</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1"/>
                <w:bCs w:val="1"/>
                <w:color w:val="0b1220"/>
                <w:sz w:val="15"/>
                <w:szCs w:val="15"/>
                <w:rtl w:val="0"/>
              </w:rPr>
              <w:t xml:space="preserve">Query classification latency</w:t>
            </w:r>
            <w:r w:rsidDel="00000000" w:rsidR="00000000" w:rsidRPr="00000000">
              <w:rPr>
                <w:rtl w:val="0"/>
              </w:rPr>
            </w:r>
          </w:p>
        </w:tc>
        <w:tc>
          <w:tcPr>
            <w:shd w:fill="f8f6f1" w:val="clea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f2933"/>
                <w:sz w:val="15"/>
                <w:szCs w:val="15"/>
                <w:rtl w:val="0"/>
              </w:rPr>
              <w:t xml:space="preserve">&lt; 250 ms</w:t>
            </w:r>
            <w:r w:rsidDel="00000000" w:rsidR="00000000" w:rsidRPr="00000000">
              <w:rPr>
                <w:rtl w:val="0"/>
              </w:rPr>
            </w:r>
          </w:p>
        </w:tc>
        <w:tc>
          <w:tcPr>
            <w:shd w:fill="f8f6f1" w:val="clea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1f2933"/>
                <w:sz w:val="15"/>
                <w:szCs w:val="15"/>
                <w:rtl w:val="0"/>
              </w:rPr>
              <w:t xml:space="preserve">Simple classification only; complex routes may ask clarifying questions or use asynchronous review.</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1"/>
                <w:bCs w:val="1"/>
                <w:color w:val="0b1220"/>
                <w:sz w:val="15"/>
                <w:szCs w:val="15"/>
                <w:rtl w:val="0"/>
              </w:rPr>
              <w:t xml:space="preserve">Source retrieval — top bundle</w:t>
            </w:r>
            <w:r w:rsidDel="00000000" w:rsidR="00000000" w:rsidRPr="00000000">
              <w:rPr>
                <w:rtl w:val="0"/>
              </w:rPr>
            </w:r>
          </w:p>
        </w:tc>
        <w:tc>
          <w:tcPr>
            <w:shd w:fill="ffffff" w:val="clea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color w:val="1f2933"/>
                <w:sz w:val="15"/>
                <w:szCs w:val="15"/>
                <w:rtl w:val="0"/>
              </w:rPr>
              <w:t xml:space="preserve">&lt; 750 ms median</w:t>
            </w:r>
            <w:r w:rsidDel="00000000" w:rsidR="00000000" w:rsidRPr="00000000">
              <w:rPr>
                <w:rtl w:val="0"/>
              </w:rPr>
            </w:r>
          </w:p>
        </w:tc>
        <w:tc>
          <w:tcPr>
            <w:shd w:fill="ffffff" w:val="clea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1f2933"/>
                <w:sz w:val="15"/>
                <w:szCs w:val="15"/>
                <w:rtl w:val="0"/>
              </w:rPr>
              <w:t xml:space="preserve">Normal load, approved-source retrieval with metadata filters.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0b1220"/>
                <w:sz w:val="15"/>
                <w:szCs w:val="15"/>
                <w:rtl w:val="0"/>
              </w:rPr>
              <w:t xml:space="preserve">Answer composition — median</w:t>
            </w:r>
            <w:r w:rsidDel="00000000" w:rsidR="00000000" w:rsidRPr="00000000">
              <w:rPr>
                <w:rtl w:val="0"/>
              </w:rPr>
            </w:r>
          </w:p>
        </w:tc>
        <w:tc>
          <w:tcPr>
            <w:shd w:fill="f8f6f1" w:val="clea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color w:val="1f2933"/>
                <w:sz w:val="15"/>
                <w:szCs w:val="15"/>
                <w:rtl w:val="0"/>
              </w:rPr>
              <w:t xml:space="preserve">&lt; 3 seconds</w:t>
            </w:r>
            <w:r w:rsidDel="00000000" w:rsidR="00000000" w:rsidRPr="00000000">
              <w:rPr>
                <w:rtl w:val="0"/>
              </w:rPr>
            </w:r>
          </w:p>
        </w:tc>
        <w:tc>
          <w:tcPr>
            <w:shd w:fill="f8f6f1" w:val="clea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color w:val="1f2933"/>
                <w:sz w:val="15"/>
                <w:szCs w:val="15"/>
                <w:rtl w:val="0"/>
              </w:rPr>
              <w:t xml:space="preserve">Standard interactive answers, excluding human escalation queues.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1"/>
                <w:bCs w:val="1"/>
                <w:color w:val="0b1220"/>
                <w:sz w:val="15"/>
                <w:szCs w:val="15"/>
                <w:rtl w:val="0"/>
              </w:rPr>
              <w:t xml:space="preserve">Answer composition — P95</w:t>
            </w:r>
            <w:r w:rsidDel="00000000" w:rsidR="00000000" w:rsidRPr="00000000">
              <w:rPr>
                <w:rtl w:val="0"/>
              </w:rPr>
            </w:r>
          </w:p>
        </w:tc>
        <w:tc>
          <w:tcPr>
            <w:shd w:fill="ffffff" w:val="clea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color w:val="1f2933"/>
                <w:sz w:val="15"/>
                <w:szCs w:val="15"/>
                <w:rtl w:val="0"/>
              </w:rPr>
              <w:t xml:space="preserve">&lt; 5 seconds</w:t>
            </w:r>
            <w:r w:rsidDel="00000000" w:rsidR="00000000" w:rsidRPr="00000000">
              <w:rPr>
                <w:rtl w:val="0"/>
              </w:rPr>
            </w:r>
          </w:p>
        </w:tc>
        <w:tc>
          <w:tcPr>
            <w:shd w:fill="ffffff" w:val="clea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color w:val="1f2933"/>
                <w:sz w:val="15"/>
                <w:szCs w:val="15"/>
                <w:rtl w:val="0"/>
              </w:rPr>
              <w:t xml:space="preserve">Same standard interactive flow population, 95th percentile.</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color w:val="0b1220"/>
                <w:sz w:val="15"/>
                <w:szCs w:val="15"/>
                <w:rtl w:val="0"/>
              </w:rPr>
              <w:t xml:space="preserve">Availability</w:t>
            </w:r>
            <w:r w:rsidDel="00000000" w:rsidR="00000000" w:rsidRPr="00000000">
              <w:rPr>
                <w:rtl w:val="0"/>
              </w:rPr>
            </w:r>
          </w:p>
        </w:tc>
        <w:tc>
          <w:tcPr>
            <w:shd w:fill="f8f6f1" w:val="clea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color w:val="1f2933"/>
                <w:sz w:val="15"/>
                <w:szCs w:val="15"/>
                <w:rtl w:val="0"/>
              </w:rPr>
              <w:t xml:space="preserve">99.9% MVP / 99.95% enterprise target</w:t>
            </w:r>
            <w:r w:rsidDel="00000000" w:rsidR="00000000" w:rsidRPr="00000000">
              <w:rPr>
                <w:rtl w:val="0"/>
              </w:rPr>
            </w:r>
          </w:p>
        </w:tc>
        <w:tc>
          <w:tcPr>
            <w:shd w:fill="f8f6f1" w:val="clea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color w:val="1f2933"/>
                <w:sz w:val="15"/>
                <w:szCs w:val="15"/>
                <w:rtl w:val="0"/>
              </w:rPr>
              <w:t xml:space="preserve">Not contracted as SLA until measured in production.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0b1220"/>
                <w:sz w:val="15"/>
                <w:szCs w:val="15"/>
                <w:rtl w:val="0"/>
              </w:rPr>
              <w:t xml:space="preserve">Audit completeness</w:t>
            </w:r>
            <w:r w:rsidDel="00000000" w:rsidR="00000000" w:rsidRPr="00000000">
              <w:rPr>
                <w:rtl w:val="0"/>
              </w:rPr>
            </w:r>
          </w:p>
        </w:tc>
        <w:tc>
          <w:tcPr>
            <w:shd w:fill="ffffff" w:val="clea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color w:val="1f2933"/>
                <w:sz w:val="15"/>
                <w:szCs w:val="15"/>
                <w:rtl w:val="0"/>
              </w:rPr>
              <w:t xml:space="preserve">100%</w:t>
            </w:r>
            <w:r w:rsidDel="00000000" w:rsidR="00000000" w:rsidRPr="00000000">
              <w:rPr>
                <w:rtl w:val="0"/>
              </w:rPr>
            </w:r>
          </w:p>
        </w:tc>
        <w:tc>
          <w:tcPr>
            <w:shd w:fill="ffffff" w:val="clea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color w:val="1f2933"/>
                <w:sz w:val="15"/>
                <w:szCs w:val="15"/>
                <w:rtl w:val="0"/>
              </w:rPr>
              <w:t xml:space="preserve">All production answers, no exceptions.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0b1220"/>
                <w:sz w:val="15"/>
                <w:szCs w:val="15"/>
                <w:rtl w:val="0"/>
              </w:rPr>
              <w:t xml:space="preserve">Tenant isolation test pass rate</w:t>
            </w:r>
            <w:r w:rsidDel="00000000" w:rsidR="00000000" w:rsidRPr="00000000">
              <w:rPr>
                <w:rtl w:val="0"/>
              </w:rPr>
            </w:r>
          </w:p>
        </w:tc>
        <w:tc>
          <w:tcPr>
            <w:shd w:fill="f8f6f1" w:val="clea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color w:val="1f2933"/>
                <w:sz w:val="15"/>
                <w:szCs w:val="15"/>
                <w:rtl w:val="0"/>
              </w:rPr>
              <w:t xml:space="preserve">100%</w:t>
            </w:r>
            <w:r w:rsidDel="00000000" w:rsidR="00000000" w:rsidRPr="00000000">
              <w:rPr>
                <w:rtl w:val="0"/>
              </w:rPr>
            </w:r>
          </w:p>
        </w:tc>
        <w:tc>
          <w:tcPr>
            <w:shd w:fill="f8f6f1" w:val="clea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color w:val="1f2933"/>
                <w:sz w:val="15"/>
                <w:szCs w:val="15"/>
                <w:rtl w:val="0"/>
              </w:rPr>
              <w:t xml:space="preserve">Blocking release gate before ZoikoSuite integration.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1"/>
                <w:bCs w:val="1"/>
                <w:color w:val="0b1220"/>
                <w:sz w:val="15"/>
                <w:szCs w:val="15"/>
                <w:rtl w:val="0"/>
              </w:rPr>
              <w:t xml:space="preserve">Localization readiness</w:t>
            </w:r>
            <w:r w:rsidDel="00000000" w:rsidR="00000000" w:rsidRPr="00000000">
              <w:rPr>
                <w:rtl w:val="0"/>
              </w:rPr>
            </w:r>
          </w:p>
        </w:tc>
        <w:tc>
          <w:tcPr>
            <w:shd w:fill="ffffff" w:val="clea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1f2933"/>
                <w:sz w:val="15"/>
                <w:szCs w:val="15"/>
                <w:rtl w:val="0"/>
              </w:rPr>
              <w:t xml:space="preserve">100% of UI strings externalized</w:t>
            </w:r>
            <w:r w:rsidDel="00000000" w:rsidR="00000000" w:rsidRPr="00000000">
              <w:rPr>
                <w:rtl w:val="0"/>
              </w:rPr>
            </w:r>
          </w:p>
        </w:tc>
        <w:tc>
          <w:tcPr>
            <w:shd w:fill="ffffff" w:val="clea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1f2933"/>
                <w:sz w:val="15"/>
                <w:szCs w:val="15"/>
                <w:rtl w:val="0"/>
              </w:rPr>
              <w:t xml:space="preserve">Required before global rollout beyond master American English content.</w:t>
            </w:r>
            <w:r w:rsidDel="00000000" w:rsidR="00000000" w:rsidRPr="00000000">
              <w:rPr>
                <w:rtl w:val="0"/>
              </w:rPr>
            </w:r>
          </w:p>
        </w:tc>
      </w:tr>
    </w:tbl>
    <w:p w:rsidR="00000000" w:rsidDel="00000000" w:rsidP="00000000" w:rsidRDefault="00000000" w:rsidRPr="00000000" w14:paraId="00000075">
      <w:pPr>
        <w:pStyle w:val="Heading1"/>
        <w:rPr/>
      </w:pPr>
      <w:r w:rsidDel="00000000" w:rsidR="00000000" w:rsidRPr="00000000">
        <w:rPr>
          <w:rtl w:val="0"/>
        </w:rPr>
        <w:t xml:space="preserve">6. Roadmap Reconciliation — Resolved Control Position</w:t>
      </w:r>
    </w:p>
    <w:p w:rsidR="00000000" w:rsidDel="00000000" w:rsidP="00000000" w:rsidRDefault="00000000" w:rsidRPr="00000000" w14:paraId="00000076">
      <w:pPr>
        <w:rPr/>
      </w:pPr>
      <w:r w:rsidDel="00000000" w:rsidR="00000000" w:rsidRPr="00000000">
        <w:rPr>
          <w:rtl w:val="0"/>
        </w:rPr>
        <w:t xml:space="preserve">This document must not create a second roadmap. The existing 16-week sprint roadmap in the completed Production Engineering Specification remains the controlling timeline for MVP engineering execution. Any phase language in this orientation document is descriptive only and must be mapped to the existing sprint numbers.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0b1220" w:val="cle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color w:val="ffffff"/>
                <w:sz w:val="15"/>
                <w:szCs w:val="15"/>
                <w:rtl w:val="0"/>
              </w:rPr>
              <w:t xml:space="preserve">Roadmap Area</w:t>
            </w:r>
            <w:r w:rsidDel="00000000" w:rsidR="00000000" w:rsidRPr="00000000">
              <w:rPr>
                <w:rtl w:val="0"/>
              </w:rPr>
            </w:r>
          </w:p>
        </w:tc>
        <w:tc>
          <w:tcPr>
            <w:shd w:fill="0b1220" w:val="cle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1"/>
                <w:bCs w:val="1"/>
                <w:color w:val="ffffff"/>
                <w:sz w:val="15"/>
                <w:szCs w:val="15"/>
                <w:rtl w:val="0"/>
              </w:rPr>
              <w:t xml:space="preserve">Control Status</w:t>
            </w:r>
            <w:r w:rsidDel="00000000" w:rsidR="00000000" w:rsidRPr="00000000">
              <w:rPr>
                <w:rtl w:val="0"/>
              </w:rPr>
            </w:r>
          </w:p>
        </w:tc>
        <w:tc>
          <w:tcPr>
            <w:shd w:fill="0b1220" w:val="cle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1"/>
                <w:bCs w:val="1"/>
                <w:color w:val="ffffff"/>
                <w:sz w:val="15"/>
                <w:szCs w:val="15"/>
                <w:rtl w:val="0"/>
              </w:rPr>
              <w:t xml:space="preserve">Scope Note</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1"/>
                <w:bCs w:val="1"/>
                <w:color w:val="0b1220"/>
                <w:sz w:val="15"/>
                <w:szCs w:val="15"/>
                <w:rtl w:val="0"/>
              </w:rPr>
              <w:t xml:space="preserve">Foundation and control documents</w:t>
            </w:r>
            <w:r w:rsidDel="00000000" w:rsidR="00000000" w:rsidRPr="00000000">
              <w:rPr>
                <w:rtl w:val="0"/>
              </w:rPr>
            </w:r>
          </w:p>
        </w:tc>
        <w:tc>
          <w:tcPr>
            <w:shd w:fill="f8f6f1" w:val="clea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1f2933"/>
                <w:sz w:val="15"/>
                <w:szCs w:val="15"/>
                <w:rtl w:val="0"/>
              </w:rPr>
              <w:t xml:space="preserve">Mapped into Sprints 1-2</w:t>
            </w:r>
            <w:r w:rsidDel="00000000" w:rsidR="00000000" w:rsidRPr="00000000">
              <w:rPr>
                <w:rtl w:val="0"/>
              </w:rPr>
            </w:r>
          </w:p>
        </w:tc>
        <w:tc>
          <w:tcPr>
            <w:shd w:fill="f8f6f1" w:val="clea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f2933"/>
                <w:sz w:val="15"/>
                <w:szCs w:val="15"/>
                <w:rtl w:val="0"/>
              </w:rPr>
              <w:t xml:space="preserve">Source governance, core schemas, classifier baseline, retrieval baseline, initial risk controls.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1"/>
                <w:bCs w:val="1"/>
                <w:color w:val="0b1220"/>
                <w:sz w:val="15"/>
                <w:szCs w:val="15"/>
                <w:rtl w:val="0"/>
              </w:rPr>
              <w:t xml:space="preserve">Core logic and answer system</w:t>
            </w:r>
            <w:r w:rsidDel="00000000" w:rsidR="00000000" w:rsidRPr="00000000">
              <w:rPr>
                <w:rtl w:val="0"/>
              </w:rPr>
            </w:r>
          </w:p>
        </w:tc>
        <w:tc>
          <w:tcPr>
            <w:shd w:fill="ffffff" w:val="clea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1f2933"/>
                <w:sz w:val="15"/>
                <w:szCs w:val="15"/>
                <w:rtl w:val="0"/>
              </w:rPr>
              <w:t xml:space="preserve">Mapped into Sprints 3-4</w:t>
            </w:r>
            <w:r w:rsidDel="00000000" w:rsidR="00000000" w:rsidRPr="00000000">
              <w:rPr>
                <w:rtl w:val="0"/>
              </w:rPr>
            </w:r>
          </w:p>
        </w:tc>
        <w:tc>
          <w:tcPr>
            <w:shd w:fill="ffffff" w:val="clea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1f2933"/>
                <w:sz w:val="15"/>
                <w:szCs w:val="15"/>
                <w:rtl w:val="0"/>
              </w:rPr>
              <w:t xml:space="preserve">Answer templates, citation system, audit logging, escalation gateway, initial integration tests.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1"/>
                <w:bCs w:val="1"/>
                <w:color w:val="0b1220"/>
                <w:sz w:val="15"/>
                <w:szCs w:val="15"/>
                <w:rtl w:val="0"/>
              </w:rPr>
              <w:t xml:space="preserve">Refinement and professional content</w:t>
            </w:r>
            <w:r w:rsidDel="00000000" w:rsidR="00000000" w:rsidRPr="00000000">
              <w:rPr>
                <w:rtl w:val="0"/>
              </w:rPr>
            </w:r>
          </w:p>
        </w:tc>
        <w:tc>
          <w:tcPr>
            <w:shd w:fill="f8f6f1" w:val="clea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1f2933"/>
                <w:sz w:val="15"/>
                <w:szCs w:val="15"/>
                <w:rtl w:val="0"/>
              </w:rPr>
              <w:t xml:space="preserve">Mapped into Sprints 5-6</w:t>
            </w:r>
            <w:r w:rsidDel="00000000" w:rsidR="00000000" w:rsidRPr="00000000">
              <w:rPr>
                <w:rtl w:val="0"/>
              </w:rPr>
            </w:r>
          </w:p>
        </w:tc>
        <w:tc>
          <w:tcPr>
            <w:shd w:fill="f8f6f1" w:val="clea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1f2933"/>
                <w:sz w:val="15"/>
                <w:szCs w:val="15"/>
                <w:rtl w:val="0"/>
              </w:rPr>
              <w:t xml:space="preserve">Syllabus layer, workflow-mode baseline, full risk levels, SME review, accuracy testing.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0b1220"/>
                <w:sz w:val="15"/>
                <w:szCs w:val="15"/>
                <w:rtl w:val="0"/>
              </w:rPr>
              <w:t xml:space="preserve">Pre-launch readiness</w:t>
            </w:r>
            <w:r w:rsidDel="00000000" w:rsidR="00000000" w:rsidRPr="00000000">
              <w:rPr>
                <w:rtl w:val="0"/>
              </w:rPr>
            </w:r>
          </w:p>
        </w:tc>
        <w:tc>
          <w:tcPr>
            <w:shd w:fill="ffffff" w:val="clea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1f2933"/>
                <w:sz w:val="15"/>
                <w:szCs w:val="15"/>
                <w:rtl w:val="0"/>
              </w:rPr>
              <w:t xml:space="preserve">Mapped into Sprints 7-8</w:t>
            </w:r>
            <w:r w:rsidDel="00000000" w:rsidR="00000000" w:rsidRPr="00000000">
              <w:rPr>
                <w:rtl w:val="0"/>
              </w:rPr>
            </w:r>
          </w:p>
        </w:tc>
        <w:tc>
          <w:tcPr>
            <w:shd w:fill="ffffff" w:val="clea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1f2933"/>
                <w:sz w:val="15"/>
                <w:szCs w:val="15"/>
                <w:rtl w:val="0"/>
              </w:rPr>
              <w:t xml:space="preserve">Practice intelligence, ZoikoSuite API baseline, review mode, load testing, security review, release gates.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0b1220"/>
                <w:sz w:val="15"/>
                <w:szCs w:val="15"/>
                <w:rtl w:val="0"/>
              </w:rPr>
              <w:t xml:space="preserve">Enterprise expansion</w:t>
            </w:r>
            <w:r w:rsidDel="00000000" w:rsidR="00000000" w:rsidRPr="00000000">
              <w:rPr>
                <w:rtl w:val="0"/>
              </w:rPr>
            </w:r>
          </w:p>
        </w:tc>
        <w:tc>
          <w:tcPr>
            <w:shd w:fill="f8f6f1" w:val="clea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color w:val="1f2933"/>
                <w:sz w:val="15"/>
                <w:szCs w:val="15"/>
                <w:rtl w:val="0"/>
              </w:rPr>
              <w:t xml:space="preserve">Post-MVP Phase beginning Month 5</w:t>
            </w:r>
            <w:r w:rsidDel="00000000" w:rsidR="00000000" w:rsidRPr="00000000">
              <w:rPr>
                <w:rtl w:val="0"/>
              </w:rPr>
            </w:r>
          </w:p>
        </w:tc>
        <w:tc>
          <w:tcPr>
            <w:shd w:fill="f8f6f1" w:val="clea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1f2933"/>
                <w:sz w:val="15"/>
                <w:szCs w:val="15"/>
                <w:rtl w:val="0"/>
              </w:rPr>
              <w:t xml:space="preserve">Extends the sprint roadmap; not a competing roadmap. Requires separate scope approval before execution.</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t xml:space="preserve">Roadmap governance rule: if a future roadmap changes sprint scope, ownership, release gates, or dependencies, it must update the controlling roadmap document and the Document Control Register. This orientation document should not be edited to create a parallel plan.</w:t>
      </w:r>
    </w:p>
    <w:p w:rsidR="00000000" w:rsidDel="00000000" w:rsidP="00000000" w:rsidRDefault="00000000" w:rsidRPr="00000000" w14:paraId="0000008A">
      <w:pPr>
        <w:pStyle w:val="Heading1"/>
        <w:rPr/>
      </w:pPr>
      <w:r w:rsidDel="00000000" w:rsidR="00000000" w:rsidRPr="00000000">
        <w:rPr>
          <w:rtl w:val="0"/>
        </w:rPr>
        <w:t xml:space="preserve">7. Release Gates — Doctrine Summary</w:t>
      </w:r>
    </w:p>
    <w:p w:rsidR="00000000" w:rsidDel="00000000" w:rsidP="00000000" w:rsidRDefault="00000000" w:rsidRPr="00000000" w14:paraId="0000008B">
      <w:pPr>
        <w:rPr/>
      </w:pPr>
      <w:r w:rsidDel="00000000" w:rsidR="00000000" w:rsidRPr="00000000">
        <w:rPr>
          <w:rtl w:val="0"/>
        </w:rPr>
        <w:t xml:space="preserve">Full pass/fail criteria belong in ZL-T0-11. At doctrine level, no release proceeds until all eight gates pass. Governance bodies must be operational and named before production launch; they must not be assumed.</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0b1220" w:val="clea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0b1220" w:val="clea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1"/>
                <w:bCs w:val="1"/>
                <w:color w:val="ffffff"/>
                <w:sz w:val="16"/>
                <w:szCs w:val="16"/>
                <w:rtl w:val="0"/>
              </w:rPr>
              <w:t xml:space="preserve">Doctrine-Level Requirement</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1"/>
                <w:bCs w:val="1"/>
                <w:color w:val="0b1220"/>
                <w:sz w:val="15"/>
                <w:szCs w:val="15"/>
                <w:rtl w:val="0"/>
              </w:rPr>
              <w:t xml:space="preserve">Source Gate</w:t>
            </w:r>
            <w:r w:rsidDel="00000000" w:rsidR="00000000" w:rsidRPr="00000000">
              <w:rPr>
                <w:rtl w:val="0"/>
              </w:rPr>
            </w:r>
          </w:p>
        </w:tc>
        <w:tc>
          <w:tcPr>
            <w:shd w:fill="ffffff" w:val="clea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1f2933"/>
                <w:sz w:val="15"/>
                <w:szCs w:val="15"/>
                <w:rtl w:val="0"/>
              </w:rPr>
              <w:t xml:space="preserve">Approved source inventory, licensing status, version dates, effective periods, and source authority ranking are complete.</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0b1220"/>
                <w:sz w:val="15"/>
                <w:szCs w:val="15"/>
                <w:rtl w:val="0"/>
              </w:rPr>
              <w:t xml:space="preserve">Accuracy Gate</w:t>
            </w:r>
            <w:r w:rsidDel="00000000" w:rsidR="00000000" w:rsidRPr="00000000">
              <w:rPr>
                <w:rtl w:val="0"/>
              </w:rPr>
            </w:r>
          </w:p>
        </w:tc>
        <w:tc>
          <w:tcPr>
            <w:shd w:fill="ffffff" w:val="clea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f2933"/>
                <w:sz w:val="15"/>
                <w:szCs w:val="15"/>
                <w:rtl w:val="0"/>
              </w:rPr>
              <w:t xml:space="preserve">SME-reviewed answer set meets approved accuracy thresholds and has no hallucinated standards.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0b1220"/>
                <w:sz w:val="15"/>
                <w:szCs w:val="15"/>
                <w:rtl w:val="0"/>
              </w:rPr>
              <w:t xml:space="preserve">Risk Gate</w:t>
            </w:r>
            <w:r w:rsidDel="00000000" w:rsidR="00000000" w:rsidRPr="00000000">
              <w:rPr>
                <w:rtl w:val="0"/>
              </w:rPr>
            </w:r>
          </w:p>
        </w:tc>
        <w:tc>
          <w:tcPr>
            <w:shd w:fill="ffffff" w:val="clea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color w:val="1f2933"/>
                <w:sz w:val="15"/>
                <w:szCs w:val="15"/>
                <w:rtl w:val="0"/>
              </w:rPr>
              <w:t xml:space="preserve">High and restricted topics trigger required limits, refusal behavior, or escalation.</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1"/>
                <w:bCs w:val="1"/>
                <w:color w:val="0b1220"/>
                <w:sz w:val="15"/>
                <w:szCs w:val="15"/>
                <w:rtl w:val="0"/>
              </w:rPr>
              <w:t xml:space="preserve">Audit Gate</w:t>
            </w:r>
            <w:r w:rsidDel="00000000" w:rsidR="00000000" w:rsidRPr="00000000">
              <w:rPr>
                <w:rtl w:val="0"/>
              </w:rPr>
            </w:r>
          </w:p>
        </w:tc>
        <w:tc>
          <w:tcPr>
            <w:shd w:fill="ffffff" w:val="clea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color w:val="1f2933"/>
                <w:sz w:val="15"/>
                <w:szCs w:val="15"/>
                <w:rtl w:val="0"/>
              </w:rPr>
              <w:t xml:space="preserve">Every material answer has a complete, immutable, reproducible audit record.</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1"/>
                <w:bCs w:val="1"/>
                <w:color w:val="0b1220"/>
                <w:sz w:val="15"/>
                <w:szCs w:val="15"/>
                <w:rtl w:val="0"/>
              </w:rPr>
              <w:t xml:space="preserve">Privacy Gate</w:t>
            </w:r>
            <w:r w:rsidDel="00000000" w:rsidR="00000000" w:rsidRPr="00000000">
              <w:rPr>
                <w:rtl w:val="0"/>
              </w:rPr>
            </w:r>
          </w:p>
        </w:tc>
        <w:tc>
          <w:tcPr>
            <w:shd w:fill="ffffff" w:val="clea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color w:val="1f2933"/>
                <w:sz w:val="15"/>
                <w:szCs w:val="15"/>
                <w:rtl w:val="0"/>
              </w:rPr>
              <w:t xml:space="preserve">Data minimization, anonymization, retention, and tenant boundaries pass independent review.</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1"/>
                <w:bCs w:val="1"/>
                <w:color w:val="0b1220"/>
                <w:sz w:val="15"/>
                <w:szCs w:val="15"/>
                <w:rtl w:val="0"/>
              </w:rPr>
              <w:t xml:space="preserve">Security Gate</w:t>
            </w:r>
            <w:r w:rsidDel="00000000" w:rsidR="00000000" w:rsidRPr="00000000">
              <w:rPr>
                <w:rtl w:val="0"/>
              </w:rPr>
            </w:r>
          </w:p>
        </w:tc>
        <w:tc>
          <w:tcPr>
            <w:shd w:fill="ffffff" w:val="clea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color w:val="1f2933"/>
                <w:sz w:val="15"/>
                <w:szCs w:val="15"/>
                <w:rtl w:val="0"/>
              </w:rPr>
              <w:t xml:space="preserve">Threat model, access controls, encryption, monitoring, and incident playbooks are validated.</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color w:val="0b1220"/>
                <w:sz w:val="15"/>
                <w:szCs w:val="15"/>
                <w:rtl w:val="0"/>
              </w:rPr>
              <w:t xml:space="preserve">Performance Gate</w:t>
            </w:r>
            <w:r w:rsidDel="00000000" w:rsidR="00000000" w:rsidRPr="00000000">
              <w:rPr>
                <w:rtl w:val="0"/>
              </w:rPr>
            </w:r>
          </w:p>
        </w:tc>
        <w:tc>
          <w:tcPr>
            <w:shd w:fill="ffffff" w:val="clea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color w:val="1f2933"/>
                <w:sz w:val="15"/>
                <w:szCs w:val="15"/>
                <w:rtl w:val="0"/>
              </w:rPr>
              <w:t xml:space="preserve">Latency, uptime target, load, and degradation behavior pass defined thresholds.</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1"/>
                <w:bCs w:val="1"/>
                <w:color w:val="0b1220"/>
                <w:sz w:val="15"/>
                <w:szCs w:val="15"/>
                <w:rtl w:val="0"/>
              </w:rPr>
              <w:t xml:space="preserve">Governance Gate</w:t>
            </w:r>
            <w:r w:rsidDel="00000000" w:rsidR="00000000" w:rsidRPr="00000000">
              <w:rPr>
                <w:rtl w:val="0"/>
              </w:rPr>
            </w:r>
          </w:p>
        </w:tc>
        <w:tc>
          <w:tcPr>
            <w:shd w:fill="ffffff" w:val="clea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color w:val="1f2933"/>
                <w:sz w:val="15"/>
                <w:szCs w:val="15"/>
                <w:rtl w:val="0"/>
              </w:rPr>
              <w:t xml:space="preserve">Professional Content Board, Tax/Jurisdiction Panel, Syllabus Council, Data Governance function, and AI Risk Committee are operational.</w:t>
            </w:r>
            <w:r w:rsidDel="00000000" w:rsidR="00000000" w:rsidRPr="00000000">
              <w:rPr>
                <w:rtl w:val="0"/>
              </w:rPr>
            </w:r>
          </w:p>
        </w:tc>
      </w:tr>
    </w:tbl>
    <w:p w:rsidR="00000000" w:rsidDel="00000000" w:rsidP="00000000" w:rsidRDefault="00000000" w:rsidRPr="00000000" w14:paraId="0000009E">
      <w:pPr>
        <w:pStyle w:val="Heading1"/>
        <w:rPr/>
      </w:pPr>
      <w:r w:rsidDel="00000000" w:rsidR="00000000" w:rsidRPr="00000000">
        <w:rPr>
          <w:rtl w:val="0"/>
        </w:rPr>
        <w:t xml:space="preserve">8. Where Governed Detail Lives</w:t>
      </w:r>
    </w:p>
    <w:p w:rsidR="00000000" w:rsidDel="00000000" w:rsidP="00000000" w:rsidRDefault="00000000" w:rsidRPr="00000000" w14:paraId="0000009F">
      <w:pPr>
        <w:rPr/>
      </w:pPr>
      <w:r w:rsidDel="00000000" w:rsidR="00000000" w:rsidRPr="00000000">
        <w:rPr>
          <w:rtl w:val="0"/>
        </w:rPr>
        <w:t xml:space="preserve">Authoritative source: ZoikoLogia™ Document Control Register v1.0. Do not maintain a second uncontrolled copy of the Tier-0, Tier-1, or Tier-2 document estate inside this document.</w:t>
      </w:r>
    </w:p>
    <w:p w:rsidR="00000000" w:rsidDel="00000000" w:rsidP="00000000" w:rsidRDefault="00000000" w:rsidRPr="00000000" w14:paraId="000000A0">
      <w:pPr>
        <w:rPr/>
      </w:pPr>
      <w:r w:rsidDel="00000000" w:rsidR="00000000" w:rsidRPr="00000000">
        <w:rPr>
          <w:rtl w:val="0"/>
        </w:rPr>
        <w:t xml:space="preserve">If the register changes, this orientation document may be updated only to keep the system map in Section 2 aligned. Document priorities, owners, approval paths, dependencies, and release gates must remain controlled in the register and the relevant specification documents.</w:t>
      </w:r>
    </w:p>
    <w:p w:rsidR="00000000" w:rsidDel="00000000" w:rsidP="00000000" w:rsidRDefault="00000000" w:rsidRPr="00000000" w14:paraId="000000A1">
      <w:pPr>
        <w:rPr/>
      </w:pPr>
      <w:r w:rsidDel="00000000" w:rsidR="00000000" w:rsidRPr="00000000">
        <w:rPr>
          <w:rtl w:val="0"/>
        </w:rPr>
        <w:t xml:space="preserve">This document may be cited for build doctrine. It must not be cited as the controlling implementation authority for schemas, APIs, prompts, models, risk policy, source licensing, audit logging, privacy, security, QA, or integration behavior.</w:t>
      </w:r>
    </w:p>
    <w:p w:rsidR="00000000" w:rsidDel="00000000" w:rsidP="00000000" w:rsidRDefault="00000000" w:rsidRPr="00000000" w14:paraId="000000A2">
      <w:pPr>
        <w:pStyle w:val="Heading1"/>
        <w:rPr/>
      </w:pPr>
      <w:r w:rsidDel="00000000" w:rsidR="00000000" w:rsidRPr="00000000">
        <w:rPr>
          <w:rtl w:val="0"/>
        </w:rPr>
        <w:t xml:space="preserve">9. Global Platform and Localization Doctrine</w:t>
      </w:r>
    </w:p>
    <w:p w:rsidR="00000000" w:rsidDel="00000000" w:rsidP="00000000" w:rsidRDefault="00000000" w:rsidRPr="00000000" w14:paraId="000000A3">
      <w:pPr>
        <w:rPr/>
      </w:pPr>
      <w:r w:rsidDel="00000000" w:rsidR="00000000" w:rsidRPr="00000000">
        <w:rPr>
          <w:rtl w:val="0"/>
        </w:rPr>
        <w:t xml:space="preserve">ZoikoLogia™ is a global platform. American English is the master language for this document estate, but the product must be designed for multiple languages, jurisdictions, professional bodies, currencies, date formats, tax years, reporting frameworks, and local terminology.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All UI copy must be externalized into localization files; hard-coded English strings are prohibited in production UI.</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Source metadata must include language, jurisdiction, source authority, effective date, and translation status.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Translated answers must preserve source hierarchy and professional boundary controls; translation must never override source meaning.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Jurisdictional terms must be localized without collapsing distinct legal concepts. For example, VAT, GST, sales tax, corporation tax, payroll tax, employment tax, and withholding tax must not be treated as interchangeable.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Number, date, currency, and percentage formatting must follow locale and entity settings, while audit logs preserve canonical machine-readable values.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No jurisdiction or language launches without source coverage, local expert review, legal review, and QA approval.</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10. Success Definition</w:t>
      </w:r>
    </w:p>
    <w:p w:rsidR="00000000" w:rsidDel="00000000" w:rsidP="00000000" w:rsidRDefault="00000000" w:rsidRPr="00000000" w14:paraId="000000AB">
      <w:pPr>
        <w:rPr/>
      </w:pPr>
      <w:r w:rsidDel="00000000" w:rsidR="00000000" w:rsidRPr="00000000">
        <w:rPr>
          <w:rtl w:val="0"/>
        </w:rPr>
        <w:t xml:space="preserve">ZoikoLogia™ succeeds only when users can trust the answer, the source, the reasoning, the limitation, the escalation path, and the audit trail behind the answer.</w:t>
      </w:r>
    </w:p>
    <w:p w:rsidR="00000000" w:rsidDel="00000000" w:rsidP="00000000" w:rsidRDefault="00000000" w:rsidRPr="00000000" w14:paraId="000000AC">
      <w:pPr>
        <w:rPr/>
      </w:pPr>
      <w:r w:rsidDel="00000000" w:rsidR="00000000" w:rsidRPr="00000000">
        <w:rPr>
          <w:rtl w:val="0"/>
        </w:rPr>
        <w:t xml:space="preserve">It fails if answers cannot be traced to approved sources; if high-risk topics are answered without limitation or escalation; if queries go unlogged; if performance gains come at the expense of safety or auditability; if ZoikoSuite context leaks across tenant boundaries; if unauthorized syllabus content is used; or if the product behaves like a generic chatbot with accounting branding.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b122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b1220"/>
          <w:sz w:val="20"/>
          <w:szCs w:val="20"/>
          <w:u w:val="none"/>
          <w:shd w:fill="auto" w:val="clear"/>
          <w:vertAlign w:val="baseline"/>
          <w:rtl w:val="0"/>
        </w:rPr>
        <w:t xml:space="preserve">Final build doctrine:</w:t>
      </w:r>
    </w:p>
    <w:p w:rsidR="00000000" w:rsidDel="00000000" w:rsidP="00000000" w:rsidRDefault="00000000" w:rsidRPr="00000000" w14:paraId="000000AE">
      <w:pPr>
        <w:rPr/>
      </w:pPr>
      <w:r w:rsidDel="00000000" w:rsidR="00000000" w:rsidRPr="00000000">
        <w:rPr>
          <w:rtl w:val="0"/>
        </w:rPr>
        <w:t xml:space="preserve">Kriton™ should not guess. Kriton™ should retrieve, explain, document, flag risk, and escalate. ZoikoLogia™ is complete only when that behavior is consistent, measurable, reproducible, and governed across languages, jurisdictions, users, and workflows.</w:t>
      </w:r>
    </w:p>
    <w:p w:rsidR="00000000" w:rsidDel="00000000" w:rsidP="00000000" w:rsidRDefault="00000000" w:rsidRPr="00000000" w14:paraId="000000AF">
      <w:pPr>
        <w:pStyle w:val="Heading1"/>
        <w:rPr/>
      </w:pPr>
      <w:r w:rsidDel="00000000" w:rsidR="00000000" w:rsidRPr="00000000">
        <w:rPr>
          <w:rtl w:val="0"/>
        </w:rPr>
        <w:t xml:space="preserve">11. Approval and Usage Rules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0b1220" w:val="cle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0b1220" w:val="cle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1"/>
                <w:bCs w:val="1"/>
                <w:color w:val="0b1220"/>
                <w:sz w:val="15"/>
                <w:szCs w:val="15"/>
                <w:rtl w:val="0"/>
              </w:rPr>
              <w:t xml:space="preserve">Approved use</w:t>
            </w:r>
            <w:r w:rsidDel="00000000" w:rsidR="00000000" w:rsidRPr="00000000">
              <w:rPr>
                <w:rtl w:val="0"/>
              </w:rPr>
            </w:r>
          </w:p>
        </w:tc>
        <w:tc>
          <w:tcPr>
            <w:shd w:fill="ffffff" w:val="clea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color w:val="1f2933"/>
                <w:sz w:val="15"/>
                <w:szCs w:val="15"/>
                <w:rtl w:val="0"/>
              </w:rPr>
              <w:t xml:space="preserve">Engineering orientation, build doctrine, onboarding, architecture alignment, roadmap reconciliation, and governance framing.</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0b1220"/>
                <w:sz w:val="15"/>
                <w:szCs w:val="15"/>
                <w:rtl w:val="0"/>
              </w:rPr>
              <w:t xml:space="preserve">Not approved for</w:t>
            </w:r>
            <w:r w:rsidDel="00000000" w:rsidR="00000000" w:rsidRPr="00000000">
              <w:rPr>
                <w:rtl w:val="0"/>
              </w:rPr>
            </w:r>
          </w:p>
        </w:tc>
        <w:tc>
          <w:tcPr>
            <w:shd w:fill="ffffff" w:val="clea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0"/>
                <w:bCs w:val="0"/>
                <w:color w:val="1f2933"/>
                <w:sz w:val="15"/>
                <w:szCs w:val="15"/>
                <w:rtl w:val="0"/>
              </w:rPr>
              <w:t xml:space="preserve">Replacing controlled specifications, creating independent release gates, defining final schemas/APIs, approving risk-policy changes, or authorizing source ingestion.</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1"/>
                <w:bCs w:val="1"/>
                <w:color w:val="0b1220"/>
                <w:sz w:val="15"/>
                <w:szCs w:val="15"/>
                <w:rtl w:val="0"/>
              </w:rPr>
              <w:t xml:space="preserve">Required readers</w:t>
            </w:r>
            <w:r w:rsidDel="00000000" w:rsidR="00000000" w:rsidRPr="00000000">
              <w:rPr>
                <w:rtl w:val="0"/>
              </w:rPr>
            </w:r>
          </w:p>
        </w:tc>
        <w:tc>
          <w:tcPr>
            <w:shd w:fill="ffffff" w:val="clea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color w:val="1f2933"/>
                <w:sz w:val="15"/>
                <w:szCs w:val="15"/>
                <w:rtl w:val="0"/>
              </w:rPr>
              <w:t xml:space="preserve">CTO, engineering leads, product owner, security lead, QA lead, AI risk lead, source governance lead, and ZoikoSuite integration lead.</w:t>
            </w:r>
            <w:r w:rsidDel="00000000" w:rsidR="00000000" w:rsidRPr="00000000">
              <w:rPr>
                <w:rtl w:val="0"/>
              </w:rPr>
            </w:r>
          </w:p>
        </w:tc>
      </w:tr>
      <w:tr>
        <w:trPr>
          <w:cantSplit w:val="1"/>
          <w:tblHeader w:val="0"/>
        </w:trPr>
        <w:tc>
          <w:tcPr>
            <w:shd w:fill="f8f6f1" w:val="clea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0b1220"/>
                <w:sz w:val="15"/>
                <w:szCs w:val="15"/>
                <w:rtl w:val="0"/>
              </w:rPr>
              <w:t xml:space="preserve">Required follow-up</w:t>
            </w:r>
            <w:r w:rsidDel="00000000" w:rsidR="00000000" w:rsidRPr="00000000">
              <w:rPr>
                <w:rtl w:val="0"/>
              </w:rPr>
            </w:r>
          </w:p>
        </w:tc>
        <w:tc>
          <w:tcPr>
            <w:shd w:fill="ffffff" w:val="clea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0"/>
                <w:bCs w:val="0"/>
                <w:color w:val="1f2933"/>
                <w:sz w:val="15"/>
                <w:szCs w:val="15"/>
                <w:rtl w:val="0"/>
              </w:rPr>
              <w:t xml:space="preserve">Proceed to the controlled document estate; prepare each approved back-end architecture document individually only when instructed.</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b122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b1220"/>
          <w:sz w:val="20"/>
          <w:szCs w:val="20"/>
          <w:u w:val="none"/>
          <w:shd w:fill="auto" w:val="clear"/>
          <w:vertAlign w:val="baseline"/>
          <w:rtl w:val="0"/>
        </w:rPr>
        <w:t xml:space="preserve">END OF ORIENTATION DOCUMENT</w:t>
      </w:r>
    </w:p>
    <w:sectPr>
      <w:headerReference r:id="rId6" w:type="default"/>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Confidential — Zoiko Group | Orientation and Build Doctrine | Page </w:t>
    </w: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ZL-OV-01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b1220"/>
      <w:sz w:val="30"/>
      <w:szCs w:val="30"/>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172033"/>
      <w:sz w:val="23"/>
      <w:szCs w:val="23"/>
    </w:rPr>
  </w:style>
  <w:style w:type="paragraph" w:styleId="Heading3">
    <w:name w:val="heading 3"/>
    <w:basedOn w:val="Normal"/>
    <w:next w:val="Normal"/>
    <w:pPr>
      <w:keepNext w:val="1"/>
      <w:keepLines w:val="1"/>
      <w:spacing w:after="40" w:before="100" w:lineRule="auto"/>
    </w:pPr>
    <w:rPr>
      <w:rFonts w:ascii="Aptos" w:cs="Aptos" w:eastAsia="Aptos" w:hAnsi="Aptos"/>
      <w:b w:val="1"/>
      <w:bCs w:val="1"/>
      <w:color w:val="d97706"/>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0" w:line="240" w:lineRule="auto"/>
    </w:pPr>
    <w:rPr>
      <w:rFonts w:ascii="Play" w:cs="Play" w:eastAsia="Play" w:hAnsi="Play"/>
      <w:b w:val="1"/>
      <w:bCs w:val="1"/>
      <w:color w:val="0b122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