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pPr>
      <w:r>
        <w:rPr>
          <w:b/>
          <w:bCs/>
          <w:color w:val="5B6B6A"/>
          <w:sz w:val="24"/>
          <w:szCs w:val="24"/>
        </w:rPr>
        <w:t xml:space="preserve">ZoikoLogia with Kriton</w:t>
      </w:r>
    </w:p>
    <w:p>
      <w:pPr>
        <w:spacing w:after="200"/>
      </w:pPr>
      <w:r>
        <w:rPr>
          <w:b/>
          <w:bCs/>
          <w:color w:val="1E2761"/>
          <w:sz w:val="44"/>
          <w:szCs w:val="44"/>
        </w:rPr>
        <w:t xml:space="preserve">Project execution roadmap</w:t>
      </w:r>
    </w:p>
    <w:p>
      <w:pPr>
        <w:spacing w:after="40"/>
      </w:pPr>
      <w:r>
        <w:rPr>
          <w:i/>
          <w:iCs/>
          <w:color w:val="5B6B6A"/>
          <w:sz w:val="22"/>
          <w:szCs w:val="22"/>
        </w:rPr>
        <w:t xml:space="preserve">From authoritative-source data collection to a working MVP: a phased, execution-ready build plan for engineering.</w:t>
      </w:r>
    </w:p>
    <w:p>
      <w:pPr>
        <w:spacing w:after="600"/>
      </w:pPr>
      <w:r>
        <w:rPr>
          <w:color w:val="5B6B6A"/>
          <w:sz w:val="18"/>
          <w:szCs w:val="18"/>
        </w:rPr>
        <w:t xml:space="preserve">Prepared for: Engineering team  |  Status: Draft for kickoff  |  Version 1.0</w:t>
      </w:r>
    </w:p>
    <w:p>
      <w:pPr>
        <w:pStyle w:val="Heading1"/>
        <w:spacing w:after="160" w:before="360"/>
      </w:pPr>
      <w:r>
        <w:t xml:space="preserve">Executive summary</w:t>
      </w:r>
    </w:p>
    <w:p>
      <w:pPr>
        <w:spacing w:after="160"/>
      </w:pPr>
      <w:r>
        <w:rPr>
          <w:sz w:val="22"/>
          <w:szCs w:val="22"/>
        </w:rPr>
        <w:t xml:space="preserve">ZoikoLogia is a governed accounting intelligence platform with an embedded AI advisor, Kriton. The 20 specification documents already produced define what the finished product must contain, but they don't sequence the work. This roadmap converts those specs into six executable phases, each with a clear goal, deliverables, and exit criteria, so engineering can start building immediately instead of re-reading the full document estate before every decision.</w:t>
      </w:r>
    </w:p>
    <w:p>
      <w:pPr>
        <w:spacing w:after="160"/>
      </w:pPr>
      <w:r>
        <w:rPr>
          <w:sz w:val="22"/>
          <w:szCs w:val="22"/>
        </w:rPr>
        <w:t xml:space="preserve">The guiding principle carried through every phase: nothing reaches a user until it has passed through the six-stage answer pipeline — retrieve, validate, compose, cite, classify risk, and log or escalate. Every phase below either builds a piece of that pipeline or builds the governance layer around it.</w:t>
      </w:r>
    </w:p>
    <w:p>
      <w:pPr>
        <w:pStyle w:val="Heading1"/>
        <w:spacing w:after="160" w:before="360"/>
      </w:pPr>
      <w:r>
        <w:t xml:space="preserve">How the 20 specification documents map to six phases</w:t>
      </w:r>
    </w:p>
    <w:tbl>
      <w:tblPr>
        <w:tblW w:type="dxa" w:w="10800"/>
        <w:tblBorders>
          <w:top w:val="single" w:color="D3D1C7" w:sz="2"/>
          <w:left w:val="single" w:color="D3D1C7" w:sz="2"/>
          <w:bottom w:val="single" w:color="D3D1C7" w:sz="2"/>
          <w:right w:val="single" w:color="D3D1C7" w:sz="2"/>
          <w:insideH w:val="single" w:color="D3D1C7" w:sz="2"/>
          <w:insideV w:val="single" w:color="D3D1C7" w:sz="2"/>
        </w:tblBorders>
      </w:tblPr>
      <w:tblGrid>
        <w:gridCol w:w="3000"/>
        <w:gridCol w:w="7800"/>
      </w:tblGrid>
      <w:tr>
        <w:trPr>
          <w:tblHeader/>
        </w:trPr>
        <w:tc>
          <w:tcPr>
            <w:tcW w:type="dxa" w:w="3000"/>
            <w:shd w:fill="1E2761" w:val="clear"/>
            <w:tcMar>
              <w:top w:type="dxa" w:w="100"/>
              <w:left w:type="dxa" w:w="120"/>
              <w:bottom w:type="dxa" w:w="100"/>
              <w:right w:type="dxa" w:w="120"/>
            </w:tcMar>
          </w:tcPr>
          <w:p>
            <w:r>
              <w:rPr>
                <w:b/>
                <w:bCs/>
                <w:color w:val="FFFFFF"/>
                <w:sz w:val="20"/>
                <w:szCs w:val="20"/>
              </w:rPr>
              <w:t xml:space="preserve">Phase</w:t>
            </w:r>
          </w:p>
        </w:tc>
        <w:tc>
          <w:tcPr>
            <w:tcW w:type="dxa" w:w="7800"/>
            <w:shd w:fill="1E2761" w:val="clear"/>
            <w:tcMar>
              <w:top w:type="dxa" w:w="100"/>
              <w:left w:type="dxa" w:w="120"/>
              <w:bottom w:type="dxa" w:w="100"/>
              <w:right w:type="dxa" w:w="120"/>
            </w:tcMar>
          </w:tcPr>
          <w:p>
            <w:r>
              <w:rPr>
                <w:b/>
                <w:bCs/>
                <w:color w:val="FFFFFF"/>
                <w:sz w:val="20"/>
                <w:szCs w:val="20"/>
              </w:rPr>
              <w:t xml:space="preserve">Primary specs this phase implements</w:t>
            </w:r>
          </w:p>
        </w:tc>
      </w:tr>
      <w:tr>
        <w:tc>
          <w:tcPr>
            <w:tcW w:type="dxa" w:w="3000"/>
            <w:tcMar>
              <w:top w:type="dxa" w:w="100"/>
              <w:left w:type="dxa" w:w="120"/>
              <w:bottom w:type="dxa" w:w="100"/>
              <w:right w:type="dxa" w:w="120"/>
            </w:tcMar>
          </w:tcPr>
          <w:p>
            <w:r>
              <w:rPr>
                <w:sz w:val="20"/>
                <w:szCs w:val="20"/>
              </w:rPr>
              <w:t xml:space="preserve">Phase 0 — Data foundation</w:t>
            </w:r>
          </w:p>
        </w:tc>
        <w:tc>
          <w:tcPr>
            <w:tcW w:type="dxa" w:w="7800"/>
            <w:tcMar>
              <w:top w:type="dxa" w:w="100"/>
              <w:left w:type="dxa" w:w="120"/>
              <w:bottom w:type="dxa" w:w="100"/>
              <w:right w:type="dxa" w:w="120"/>
            </w:tcMar>
          </w:tcPr>
          <w:p>
            <w:r>
              <w:rPr>
                <w:sz w:val="20"/>
                <w:szCs w:val="20"/>
              </w:rPr>
              <w:t xml:space="preserve">ZL-T0-01 Source Library and Licensing Register</w:t>
            </w:r>
          </w:p>
        </w:tc>
      </w:tr>
      <w:tr>
        <w:tc>
          <w:tcPr>
            <w:tcW w:type="dxa" w:w="3000"/>
            <w:tcMar>
              <w:top w:type="dxa" w:w="100"/>
              <w:left w:type="dxa" w:w="120"/>
              <w:bottom w:type="dxa" w:w="100"/>
              <w:right w:type="dxa" w:w="120"/>
            </w:tcMar>
          </w:tcPr>
          <w:p>
            <w:r>
              <w:rPr>
                <w:sz w:val="20"/>
                <w:szCs w:val="20"/>
              </w:rPr>
              <w:t xml:space="preserve">Phase 1 — Core pipeline</w:t>
            </w:r>
          </w:p>
        </w:tc>
        <w:tc>
          <w:tcPr>
            <w:tcW w:type="dxa" w:w="7800"/>
            <w:tcMar>
              <w:top w:type="dxa" w:w="100"/>
              <w:left w:type="dxa" w:w="120"/>
              <w:bottom w:type="dxa" w:w="100"/>
              <w:right w:type="dxa" w:w="120"/>
            </w:tcMar>
          </w:tcPr>
          <w:p>
            <w:r>
              <w:rPr>
                <w:sz w:val="20"/>
                <w:szCs w:val="20"/>
              </w:rPr>
              <w:t xml:space="preserve">ZL-T0-03 RAG Spec, ZL-T0-05 Back-End Architecture, ZL-T0-02 Knowledge Graph</w:t>
            </w:r>
          </w:p>
        </w:tc>
      </w:tr>
      <w:tr>
        <w:tc>
          <w:tcPr>
            <w:tcW w:type="dxa" w:w="3000"/>
            <w:tcMar>
              <w:top w:type="dxa" w:w="100"/>
              <w:left w:type="dxa" w:w="120"/>
              <w:bottom w:type="dxa" w:w="100"/>
              <w:right w:type="dxa" w:w="120"/>
            </w:tcMar>
          </w:tcPr>
          <w:p>
            <w:r>
              <w:rPr>
                <w:sz w:val="20"/>
                <w:szCs w:val="20"/>
              </w:rPr>
              <w:t xml:space="preserve">Phase 2 — Admin console</w:t>
            </w:r>
          </w:p>
        </w:tc>
        <w:tc>
          <w:tcPr>
            <w:tcW w:type="dxa" w:w="7800"/>
            <w:tcMar>
              <w:top w:type="dxa" w:w="100"/>
              <w:left w:type="dxa" w:w="120"/>
              <w:bottom w:type="dxa" w:w="100"/>
              <w:right w:type="dxa" w:w="120"/>
            </w:tcMar>
          </w:tcPr>
          <w:p>
            <w:r>
              <w:rPr>
                <w:sz w:val="20"/>
                <w:szCs w:val="20"/>
              </w:rPr>
              <w:t xml:space="preserve">ZL-T2-05 Admin Governance Console, ZL-T1-02 Technical Product Requirements</w:t>
            </w:r>
          </w:p>
        </w:tc>
      </w:tr>
      <w:tr>
        <w:tc>
          <w:tcPr>
            <w:tcW w:type="dxa" w:w="3000"/>
            <w:tcMar>
              <w:top w:type="dxa" w:w="100"/>
              <w:left w:type="dxa" w:w="120"/>
              <w:bottom w:type="dxa" w:w="100"/>
              <w:right w:type="dxa" w:w="120"/>
            </w:tcMar>
          </w:tcPr>
          <w:p>
            <w:r>
              <w:rPr>
                <w:sz w:val="20"/>
                <w:szCs w:val="20"/>
              </w:rPr>
              <w:t xml:space="preserve">Phase 3 — Embedded UX</w:t>
            </w:r>
          </w:p>
        </w:tc>
        <w:tc>
          <w:tcPr>
            <w:tcW w:type="dxa" w:w="7800"/>
            <w:tcMar>
              <w:top w:type="dxa" w:w="100"/>
              <w:left w:type="dxa" w:w="120"/>
              <w:bottom w:type="dxa" w:w="100"/>
              <w:right w:type="dxa" w:w="120"/>
            </w:tcMar>
          </w:tcPr>
          <w:p>
            <w:r>
              <w:rPr>
                <w:sz w:val="20"/>
                <w:szCs w:val="20"/>
              </w:rPr>
              <w:t xml:space="preserve">ZL-T2-04 ZoikoSuite Embedded Kriton UX, ZL-T2-01 Front-End Architecture</w:t>
            </w:r>
          </w:p>
        </w:tc>
      </w:tr>
      <w:tr>
        <w:tc>
          <w:tcPr>
            <w:tcW w:type="dxa" w:w="3000"/>
            <w:tcMar>
              <w:top w:type="dxa" w:w="100"/>
              <w:left w:type="dxa" w:w="120"/>
              <w:bottom w:type="dxa" w:w="100"/>
              <w:right w:type="dxa" w:w="120"/>
            </w:tcMar>
          </w:tcPr>
          <w:p>
            <w:r>
              <w:rPr>
                <w:sz w:val="20"/>
                <w:szCs w:val="20"/>
              </w:rPr>
              <w:t xml:space="preserve">Phase 4 — Safety and QA</w:t>
            </w:r>
          </w:p>
        </w:tc>
        <w:tc>
          <w:tcPr>
            <w:tcW w:type="dxa" w:w="7800"/>
            <w:tcMar>
              <w:top w:type="dxa" w:w="100"/>
              <w:left w:type="dxa" w:w="120"/>
              <w:bottom w:type="dxa" w:w="100"/>
              <w:right w:type="dxa" w:w="120"/>
            </w:tcMar>
          </w:tcPr>
          <w:p>
            <w:r>
              <w:rPr>
                <w:sz w:val="20"/>
                <w:szCs w:val="20"/>
              </w:rPr>
              <w:t xml:space="preserve">ZL-T0-04 AI Safety and Risk, ZL-T0-10 LLM Evaluation, ZL-T0-11 QA Test Plan</w:t>
            </w:r>
          </w:p>
        </w:tc>
      </w:tr>
      <w:tr>
        <w:tc>
          <w:tcPr>
            <w:tcW w:type="dxa" w:w="3000"/>
            <w:tcMar>
              <w:top w:type="dxa" w:w="100"/>
              <w:left w:type="dxa" w:w="120"/>
              <w:bottom w:type="dxa" w:w="100"/>
              <w:right w:type="dxa" w:w="120"/>
            </w:tcMar>
          </w:tcPr>
          <w:p>
            <w:r>
              <w:rPr>
                <w:sz w:val="20"/>
                <w:szCs w:val="20"/>
              </w:rPr>
              <w:t xml:space="preserve">Phase 5 — Scale and licensing</w:t>
            </w:r>
          </w:p>
        </w:tc>
        <w:tc>
          <w:tcPr>
            <w:tcW w:type="dxa" w:w="7800"/>
            <w:tcMar>
              <w:top w:type="dxa" w:w="100"/>
              <w:left w:type="dxa" w:w="120"/>
              <w:bottom w:type="dxa" w:w="100"/>
              <w:right w:type="dxa" w:w="120"/>
            </w:tcMar>
          </w:tcPr>
          <w:p>
            <w:r>
              <w:rPr>
                <w:sz w:val="20"/>
                <w:szCs w:val="20"/>
              </w:rPr>
              <w:t xml:space="preserve">ZL-T0-12 Provider Due Diligence, ZL-T0-09 Privacy and Security</w:t>
            </w:r>
          </w:p>
        </w:tc>
      </w:tr>
    </w:tbl>
    <w:p>
      <w:r>
        <w:br w:type="page"/>
      </w:r>
    </w:p>
    <w:p>
      <w:pPr>
        <w:pStyle w:val="Heading1"/>
        <w:spacing w:after="80" w:before="400"/>
      </w:pPr>
      <w:r>
        <w:rPr>
          <w:b/>
          <w:bCs/>
        </w:rPr>
        <w:t xml:space="preserve">Phase 0 — Data foundation — authoritative source ingestion</w:t>
      </w:r>
    </w:p>
    <w:p>
      <w:pPr>
        <w:spacing w:after="200"/>
      </w:pPr>
      <w:r>
        <w:rPr>
          <w:i/>
          <w:iCs/>
          <w:color w:val="5B6B6A"/>
          <w:sz w:val="20"/>
          <w:szCs w:val="20"/>
        </w:rPr>
        <w:t xml:space="preserve">Suggested duration: weeks 1–2   |   Team: 1 backend engineer</w:t>
      </w:r>
    </w:p>
    <w:p>
      <w:pPr>
        <w:spacing w:after="160"/>
      </w:pPr>
      <w:r>
        <w:rPr>
          <w:sz w:val="22"/>
          <w:szCs w:val="22"/>
        </w:rPr>
        <w:t xml:space="preserve">Goal: get real, licensed or public-domain accounting/tax content flowing into a structured, versioned store — before any AI logic is built. This is the piece every other phase depends on.</w:t>
      </w:r>
    </w:p>
    <w:p>
      <w:pPr>
        <w:pStyle w:val="Heading2"/>
        <w:spacing w:after="120" w:before="240"/>
      </w:pPr>
      <w:r>
        <w:t xml:space="preserve">Deliverables</w:t>
      </w:r>
    </w:p>
    <w:p>
      <w:pPr>
        <w:pStyle w:val="ListParagraph"/>
        <w:numPr>
          <w:ilvl w:val="0"/>
          <w:numId w:val="1"/>
        </w:numPr>
        <w:spacing w:after="80"/>
      </w:pPr>
      <w:r>
        <w:rPr>
          <w:b w:val="false"/>
          <w:bCs w:val="false"/>
          <w:sz w:val="22"/>
          <w:szCs w:val="22"/>
        </w:rPr>
        <w:t xml:space="preserve">Working ingestion pipeline for HMRC manuals (UK) via the GOV.UK content API</w:t>
      </w:r>
    </w:p>
    <w:p>
      <w:pPr>
        <w:pStyle w:val="ListParagraph"/>
        <w:numPr>
          <w:ilvl w:val="0"/>
          <w:numId w:val="1"/>
        </w:numPr>
        <w:spacing w:after="80"/>
      </w:pPr>
      <w:r>
        <w:rPr>
          <w:b w:val="false"/>
          <w:bCs w:val="false"/>
          <w:sz w:val="22"/>
          <w:szCs w:val="22"/>
        </w:rPr>
        <w:t xml:space="preserve">Working ingestion pipeline for IRS publications (US) via direct PDF download</w:t>
      </w:r>
    </w:p>
    <w:p>
      <w:pPr>
        <w:pStyle w:val="ListParagraph"/>
        <w:numPr>
          <w:ilvl w:val="0"/>
          <w:numId w:val="1"/>
        </w:numPr>
        <w:spacing w:after="80"/>
      </w:pPr>
      <w:r>
        <w:rPr>
          <w:b w:val="false"/>
          <w:bCs w:val="false"/>
          <w:sz w:val="22"/>
          <w:szCs w:val="22"/>
        </w:rPr>
        <w:t xml:space="preserve">SourceDocument and SourceChunk tables in Postgres with jurisdiction, license status, and version metadata</w:t>
      </w:r>
    </w:p>
    <w:p>
      <w:pPr>
        <w:pStyle w:val="ListParagraph"/>
        <w:numPr>
          <w:ilvl w:val="0"/>
          <w:numId w:val="1"/>
        </w:numPr>
        <w:spacing w:after="80"/>
      </w:pPr>
      <w:r>
        <w:rPr>
          <w:b w:val="false"/>
          <w:bCs w:val="false"/>
          <w:sz w:val="22"/>
          <w:szCs w:val="22"/>
        </w:rPr>
        <w:t xml:space="preserve">A basic word-based text chunker producing RAG-ready segments</w:t>
      </w:r>
    </w:p>
    <w:p>
      <w:pPr>
        <w:pStyle w:val="Heading2"/>
        <w:spacing w:after="120" w:before="240"/>
      </w:pPr>
      <w:r>
        <w:t xml:space="preserve">Exit criteria</w:t>
      </w:r>
    </w:p>
    <w:p>
      <w:pPr>
        <w:pStyle w:val="ListParagraph"/>
        <w:numPr>
          <w:ilvl w:val="0"/>
          <w:numId w:val="1"/>
        </w:numPr>
        <w:spacing w:after="80"/>
      </w:pPr>
      <w:r>
        <w:rPr>
          <w:b w:val="false"/>
          <w:bCs w:val="false"/>
          <w:sz w:val="22"/>
          <w:szCs w:val="22"/>
        </w:rPr>
        <w:t xml:space="preserve">At least 3 full HMRC manuals and 5 IRS publications ingested and queryable in the database</w:t>
      </w:r>
    </w:p>
    <w:p>
      <w:pPr>
        <w:pStyle w:val="ListParagraph"/>
        <w:numPr>
          <w:ilvl w:val="0"/>
          <w:numId w:val="1"/>
        </w:numPr>
        <w:spacing w:after="80"/>
      </w:pPr>
      <w:r>
        <w:rPr>
          <w:b w:val="false"/>
          <w:bCs w:val="false"/>
          <w:sz w:val="22"/>
          <w:szCs w:val="22"/>
        </w:rPr>
        <w:t xml:space="preserve">Every stored row has a traceable source_url and license_status — no unattributed content</w:t>
      </w:r>
    </w:p>
    <w:p>
      <w:pPr>
        <w:pStyle w:val="Heading1"/>
        <w:spacing w:after="80" w:before="400"/>
      </w:pPr>
      <w:r>
        <w:rPr>
          <w:b/>
          <w:bCs/>
        </w:rPr>
        <w:t xml:space="preserve">Phase 1 — Core six-stage answer pipeline</w:t>
      </w:r>
    </w:p>
    <w:p>
      <w:pPr>
        <w:spacing w:after="200"/>
      </w:pPr>
      <w:r>
        <w:rPr>
          <w:i/>
          <w:iCs/>
          <w:color w:val="5B6B6A"/>
          <w:sz w:val="20"/>
          <w:szCs w:val="20"/>
        </w:rPr>
        <w:t xml:space="preserve">Suggested duration: weeks 3–6   |   Team: 2 backend engineers, 1 ML/AI engineer</w:t>
      </w:r>
    </w:p>
    <w:p>
      <w:pPr>
        <w:spacing w:after="160"/>
      </w:pPr>
      <w:r>
        <w:rPr>
          <w:sz w:val="22"/>
          <w:szCs w:val="22"/>
        </w:rPr>
        <w:t xml:space="preserve">Goal: build the actual retrieve, validate, compose, cite, classify-risk, log/escalate flow as a callable FastAPI service, using the sources ingested in Phase 0.</w:t>
      </w:r>
    </w:p>
    <w:p>
      <w:pPr>
        <w:pStyle w:val="Heading2"/>
        <w:spacing w:after="120" w:before="240"/>
      </w:pPr>
      <w:r>
        <w:t xml:space="preserve">Deliverables</w:t>
      </w:r>
    </w:p>
    <w:p>
      <w:pPr>
        <w:pStyle w:val="ListParagraph"/>
        <w:numPr>
          <w:ilvl w:val="0"/>
          <w:numId w:val="1"/>
        </w:numPr>
        <w:spacing w:after="80"/>
      </w:pPr>
      <w:r>
        <w:rPr>
          <w:b w:val="false"/>
          <w:bCs w:val="false"/>
          <w:sz w:val="22"/>
          <w:szCs w:val="22"/>
        </w:rPr>
        <w:t xml:space="preserve">Retrieval endpoint: given a question, return the top-ranked source chunks with confidence scores</w:t>
      </w:r>
    </w:p>
    <w:p>
      <w:pPr>
        <w:pStyle w:val="ListParagraph"/>
        <w:numPr>
          <w:ilvl w:val="0"/>
          <w:numId w:val="1"/>
        </w:numPr>
        <w:spacing w:after="80"/>
      </w:pPr>
      <w:r>
        <w:rPr>
          <w:b w:val="false"/>
          <w:bCs w:val="false"/>
          <w:sz w:val="22"/>
          <w:szCs w:val="22"/>
        </w:rPr>
        <w:t xml:space="preserve">Validation step: confirm retrieved sources are ACTIVE and not expired/superseded</w:t>
      </w:r>
    </w:p>
    <w:p>
      <w:pPr>
        <w:pStyle w:val="ListParagraph"/>
        <w:numPr>
          <w:ilvl w:val="0"/>
          <w:numId w:val="1"/>
        </w:numPr>
        <w:spacing w:after="80"/>
      </w:pPr>
      <w:r>
        <w:rPr>
          <w:b w:val="false"/>
          <w:bCs w:val="false"/>
          <w:sz w:val="22"/>
          <w:szCs w:val="22"/>
        </w:rPr>
        <w:t xml:space="preserve">Compose step: LLM call constrained to only use retrieved source text, no open-ended generation</w:t>
      </w:r>
    </w:p>
    <w:p>
      <w:pPr>
        <w:pStyle w:val="ListParagraph"/>
        <w:numPr>
          <w:ilvl w:val="0"/>
          <w:numId w:val="1"/>
        </w:numPr>
        <w:spacing w:after="80"/>
      </w:pPr>
      <w:r>
        <w:rPr>
          <w:b w:val="false"/>
          <w:bCs w:val="false"/>
          <w:sz w:val="22"/>
          <w:szCs w:val="22"/>
        </w:rPr>
        <w:t xml:space="preserve">Citation attachment: every generated sentence traceable back to a specific chunk</w:t>
      </w:r>
    </w:p>
    <w:p>
      <w:pPr>
        <w:pStyle w:val="ListParagraph"/>
        <w:numPr>
          <w:ilvl w:val="0"/>
          <w:numId w:val="1"/>
        </w:numPr>
        <w:spacing w:after="80"/>
      </w:pPr>
      <w:r>
        <w:rPr>
          <w:b w:val="false"/>
          <w:bCs w:val="false"/>
          <w:sz w:val="22"/>
          <w:szCs w:val="22"/>
        </w:rPr>
        <w:t xml:space="preserve">Risk classifier: rule-based or model-based low/medium/high tagging</w:t>
      </w:r>
    </w:p>
    <w:p>
      <w:pPr>
        <w:pStyle w:val="ListParagraph"/>
        <w:numPr>
          <w:ilvl w:val="0"/>
          <w:numId w:val="1"/>
        </w:numPr>
        <w:spacing w:after="80"/>
      </w:pPr>
      <w:r>
        <w:rPr>
          <w:b w:val="false"/>
          <w:bCs w:val="false"/>
          <w:sz w:val="22"/>
          <w:szCs w:val="22"/>
        </w:rPr>
        <w:t xml:space="preserve">Audit log: every request/response pair written to an append-only log table</w:t>
      </w:r>
    </w:p>
    <w:p>
      <w:pPr>
        <w:pStyle w:val="Heading2"/>
        <w:spacing w:after="120" w:before="240"/>
      </w:pPr>
      <w:r>
        <w:t xml:space="preserve">Exit criteria</w:t>
      </w:r>
    </w:p>
    <w:p>
      <w:pPr>
        <w:pStyle w:val="ListParagraph"/>
        <w:numPr>
          <w:ilvl w:val="0"/>
          <w:numId w:val="1"/>
        </w:numPr>
        <w:spacing w:after="80"/>
      </w:pPr>
      <w:r>
        <w:rPr>
          <w:b w:val="false"/>
          <w:bCs w:val="false"/>
          <w:sz w:val="22"/>
          <w:szCs w:val="22"/>
        </w:rPr>
        <w:t xml:space="preserve">A test question against an ingested HMRC or IRS source returns a cited, risk-tagged answer end-to-end</w:t>
      </w:r>
    </w:p>
    <w:p>
      <w:pPr>
        <w:pStyle w:val="ListParagraph"/>
        <w:numPr>
          <w:ilvl w:val="0"/>
          <w:numId w:val="1"/>
        </w:numPr>
        <w:spacing w:after="80"/>
      </w:pPr>
      <w:r>
        <w:rPr>
          <w:b w:val="false"/>
          <w:bCs w:val="false"/>
          <w:sz w:val="22"/>
          <w:szCs w:val="22"/>
        </w:rPr>
        <w:t xml:space="preserve">A question with no matching source correctly triggers a refusal, not a guess</w:t>
      </w:r>
    </w:p>
    <w:p>
      <w:pPr>
        <w:pStyle w:val="Heading1"/>
        <w:spacing w:after="80" w:before="400"/>
      </w:pPr>
      <w:r>
        <w:rPr>
          <w:b/>
          <w:bCs/>
        </w:rPr>
        <w:t xml:space="preserve">Phase 2 — Admin governance console</w:t>
      </w:r>
    </w:p>
    <w:p>
      <w:pPr>
        <w:spacing w:after="200"/>
      </w:pPr>
      <w:r>
        <w:rPr>
          <w:i/>
          <w:iCs/>
          <w:color w:val="5B6B6A"/>
          <w:sz w:val="20"/>
          <w:szCs w:val="20"/>
        </w:rPr>
        <w:t xml:space="preserve">Suggested duration: weeks 7–9   |   Team: 1 backend engineer, 1 frontend engineer</w:t>
      </w:r>
    </w:p>
    <w:p>
      <w:pPr>
        <w:spacing w:after="160"/>
      </w:pPr>
      <w:r>
        <w:rPr>
          <w:sz w:val="22"/>
          <w:szCs w:val="22"/>
        </w:rPr>
        <w:t xml:space="preserve">Goal: give a human operator the ability to approve sources, review escalations, and see system health — the trust layer that makes Phase 1 safe to expose to real users.</w:t>
      </w:r>
    </w:p>
    <w:p>
      <w:pPr>
        <w:pStyle w:val="Heading2"/>
        <w:spacing w:after="120" w:before="240"/>
      </w:pPr>
      <w:r>
        <w:t xml:space="preserve">Deliverables</w:t>
      </w:r>
    </w:p>
    <w:p>
      <w:pPr>
        <w:pStyle w:val="ListParagraph"/>
        <w:numPr>
          <w:ilvl w:val="0"/>
          <w:numId w:val="1"/>
        </w:numPr>
        <w:spacing w:after="80"/>
      </w:pPr>
      <w:r>
        <w:rPr>
          <w:b w:val="false"/>
          <w:bCs w:val="false"/>
          <w:sz w:val="22"/>
          <w:szCs w:val="22"/>
        </w:rPr>
        <w:t xml:space="preserve">Sidebar-navigated dashboard: overview, sources and licensing, escalation queue, provider register</w:t>
      </w:r>
    </w:p>
    <w:p>
      <w:pPr>
        <w:pStyle w:val="ListParagraph"/>
        <w:numPr>
          <w:ilvl w:val="0"/>
          <w:numId w:val="1"/>
        </w:numPr>
        <w:spacing w:after="80"/>
      </w:pPr>
      <w:r>
        <w:rPr>
          <w:b w:val="false"/>
          <w:bCs w:val="false"/>
          <w:sz w:val="22"/>
          <w:szCs w:val="22"/>
        </w:rPr>
        <w:t xml:space="preserve">Source approval workflow: pending to approved to active states, with an approver identity recorded</w:t>
      </w:r>
    </w:p>
    <w:p>
      <w:pPr>
        <w:pStyle w:val="ListParagraph"/>
        <w:numPr>
          <w:ilvl w:val="0"/>
          <w:numId w:val="1"/>
        </w:numPr>
        <w:spacing w:after="80"/>
      </w:pPr>
      <w:r>
        <w:rPr>
          <w:b w:val="false"/>
          <w:bCs w:val="false"/>
          <w:sz w:val="22"/>
          <w:szCs w:val="22"/>
        </w:rPr>
        <w:t xml:space="preserve">Escalation queue UI: reviewers can inspect flagged answers, see evidence, and approve or reject</w:t>
      </w:r>
    </w:p>
    <w:p>
      <w:pPr>
        <w:pStyle w:val="ListParagraph"/>
        <w:numPr>
          <w:ilvl w:val="0"/>
          <w:numId w:val="1"/>
        </w:numPr>
        <w:spacing w:after="80"/>
      </w:pPr>
      <w:r>
        <w:rPr>
          <w:b w:val="false"/>
          <w:bCs w:val="false"/>
          <w:sz w:val="22"/>
          <w:szCs w:val="22"/>
        </w:rPr>
        <w:t xml:space="preserve">Metric cards: active sources, pending reviews, open escalations, license expiry countdown</w:t>
      </w:r>
    </w:p>
    <w:p>
      <w:pPr>
        <w:pStyle w:val="Heading2"/>
        <w:spacing w:after="120" w:before="240"/>
      </w:pPr>
      <w:r>
        <w:t xml:space="preserve">Exit criteria</w:t>
      </w:r>
    </w:p>
    <w:p>
      <w:pPr>
        <w:pStyle w:val="ListParagraph"/>
        <w:numPr>
          <w:ilvl w:val="0"/>
          <w:numId w:val="1"/>
        </w:numPr>
        <w:spacing w:after="80"/>
      </w:pPr>
      <w:r>
        <w:rPr>
          <w:b w:val="false"/>
          <w:bCs w:val="false"/>
          <w:sz w:val="22"/>
          <w:szCs w:val="22"/>
        </w:rPr>
        <w:t xml:space="preserve">An admin can approve a newly ingested source and see it become citable by Kriton within the same session</w:t>
      </w:r>
    </w:p>
    <w:p>
      <w:pPr>
        <w:pStyle w:val="ListParagraph"/>
        <w:numPr>
          <w:ilvl w:val="0"/>
          <w:numId w:val="1"/>
        </w:numPr>
        <w:spacing w:after="80"/>
      </w:pPr>
      <w:r>
        <w:rPr>
          <w:b w:val="false"/>
          <w:bCs w:val="false"/>
          <w:sz w:val="22"/>
          <w:szCs w:val="22"/>
        </w:rPr>
        <w:t xml:space="preserve">A high-risk answer from Phase 1 correctly appears in the escalation queue, not directly to the end user</w:t>
      </w:r>
    </w:p>
    <w:p>
      <w:r>
        <w:br w:type="page"/>
      </w:r>
    </w:p>
    <w:p>
      <w:pPr>
        <w:pStyle w:val="Heading1"/>
        <w:spacing w:after="80" w:before="400"/>
      </w:pPr>
      <w:r>
        <w:rPr>
          <w:b/>
          <w:bCs/>
        </w:rPr>
        <w:t xml:space="preserve">Phase 3 — Embedded Kriton UX</w:t>
      </w:r>
    </w:p>
    <w:p>
      <w:pPr>
        <w:spacing w:after="200"/>
      </w:pPr>
      <w:r>
        <w:rPr>
          <w:i/>
          <w:iCs/>
          <w:color w:val="5B6B6A"/>
          <w:sz w:val="20"/>
          <w:szCs w:val="20"/>
        </w:rPr>
        <w:t xml:space="preserve">Suggested duration: weeks 10–12   |   Team: 2 frontend engineers</w:t>
      </w:r>
    </w:p>
    <w:p>
      <w:pPr>
        <w:spacing w:after="160"/>
      </w:pPr>
      <w:r>
        <w:rPr>
          <w:sz w:val="22"/>
          <w:szCs w:val="22"/>
        </w:rPr>
        <w:t xml:space="preserve">Goal: surface Kriton inside the actual accounting workflow (ZoikoSuite), not as a standalone chat window, per the embedded UX doctrine.</w:t>
      </w:r>
    </w:p>
    <w:p>
      <w:pPr>
        <w:pStyle w:val="Heading2"/>
        <w:spacing w:after="120" w:before="240"/>
      </w:pPr>
      <w:r>
        <w:t xml:space="preserve">Deliverables</w:t>
      </w:r>
    </w:p>
    <w:p>
      <w:pPr>
        <w:pStyle w:val="ListParagraph"/>
        <w:numPr>
          <w:ilvl w:val="0"/>
          <w:numId w:val="1"/>
        </w:numPr>
        <w:spacing w:after="80"/>
      </w:pPr>
      <w:r>
        <w:rPr>
          <w:b w:val="false"/>
          <w:bCs w:val="false"/>
          <w:sz w:val="22"/>
          <w:szCs w:val="22"/>
        </w:rPr>
        <w:t xml:space="preserve">Embedded panel component showing answer, source citation, and risk badge inline in the workflow</w:t>
      </w:r>
    </w:p>
    <w:p>
      <w:pPr>
        <w:pStyle w:val="ListParagraph"/>
        <w:numPr>
          <w:ilvl w:val="0"/>
          <w:numId w:val="1"/>
        </w:numPr>
        <w:spacing w:after="80"/>
      </w:pPr>
      <w:r>
        <w:rPr>
          <w:b w:val="false"/>
          <w:bCs w:val="false"/>
          <w:sz w:val="22"/>
          <w:szCs w:val="22"/>
        </w:rPr>
        <w:t xml:space="preserve">Context-preserving prompts: Kriton knows what screen/task the user is on</w:t>
      </w:r>
    </w:p>
    <w:p>
      <w:pPr>
        <w:pStyle w:val="ListParagraph"/>
        <w:numPr>
          <w:ilvl w:val="0"/>
          <w:numId w:val="1"/>
        </w:numPr>
        <w:spacing w:after="80"/>
      </w:pPr>
      <w:r>
        <w:rPr>
          <w:b w:val="false"/>
          <w:bCs w:val="false"/>
          <w:sz w:val="22"/>
          <w:szCs w:val="22"/>
        </w:rPr>
        <w:t xml:space="preserve">Evidence-save action: user can attach a Kriton answer to a working paper</w:t>
      </w:r>
    </w:p>
    <w:p>
      <w:pPr>
        <w:pStyle w:val="Heading2"/>
        <w:spacing w:after="120" w:before="240"/>
      </w:pPr>
      <w:r>
        <w:t xml:space="preserve">Exit criteria</w:t>
      </w:r>
    </w:p>
    <w:p>
      <w:pPr>
        <w:pStyle w:val="ListParagraph"/>
        <w:numPr>
          <w:ilvl w:val="0"/>
          <w:numId w:val="1"/>
        </w:numPr>
        <w:spacing w:after="80"/>
      </w:pPr>
      <w:r>
        <w:rPr>
          <w:b w:val="false"/>
          <w:bCs w:val="false"/>
          <w:sz w:val="22"/>
          <w:szCs w:val="22"/>
        </w:rPr>
        <w:t xml:space="preserve">A user can ask a question without leaving their current transaction entry screen and receive a governed answer inline</w:t>
      </w:r>
    </w:p>
    <w:p>
      <w:pPr>
        <w:pStyle w:val="Heading1"/>
        <w:spacing w:after="80" w:before="400"/>
      </w:pPr>
      <w:r>
        <w:rPr>
          <w:b/>
          <w:bCs/>
        </w:rPr>
        <w:t xml:space="preserve">Phase 4 — Safety, evaluation, and QA gates</w:t>
      </w:r>
    </w:p>
    <w:p>
      <w:pPr>
        <w:spacing w:after="200"/>
      </w:pPr>
      <w:r>
        <w:rPr>
          <w:i/>
          <w:iCs/>
          <w:color w:val="5B6B6A"/>
          <w:sz w:val="20"/>
          <w:szCs w:val="20"/>
        </w:rPr>
        <w:t xml:space="preserve">Suggested duration: weeks 13–15   |   Team: 1 ML engineer, 1 QA engineer</w:t>
      </w:r>
    </w:p>
    <w:p>
      <w:pPr>
        <w:spacing w:after="160"/>
      </w:pPr>
      <w:r>
        <w:rPr>
          <w:sz w:val="22"/>
          <w:szCs w:val="22"/>
        </w:rPr>
        <w:t xml:space="preserve">Goal: prove the system is safe and accurate before wider rollout, with repeatable, versioned evaluation rather than manual spot-checks.</w:t>
      </w:r>
    </w:p>
    <w:p>
      <w:pPr>
        <w:pStyle w:val="Heading2"/>
        <w:spacing w:after="120" w:before="240"/>
      </w:pPr>
      <w:r>
        <w:t xml:space="preserve">Deliverables</w:t>
      </w:r>
    </w:p>
    <w:p>
      <w:pPr>
        <w:pStyle w:val="ListParagraph"/>
        <w:numPr>
          <w:ilvl w:val="0"/>
          <w:numId w:val="1"/>
        </w:numPr>
        <w:spacing w:after="80"/>
      </w:pPr>
      <w:r>
        <w:rPr>
          <w:b w:val="false"/>
          <w:bCs w:val="false"/>
          <w:sz w:val="22"/>
          <w:szCs w:val="22"/>
        </w:rPr>
        <w:t xml:space="preserve">A benchmark question set per jurisdiction with known-correct answers and citations</w:t>
      </w:r>
    </w:p>
    <w:p>
      <w:pPr>
        <w:pStyle w:val="ListParagraph"/>
        <w:numPr>
          <w:ilvl w:val="0"/>
          <w:numId w:val="1"/>
        </w:numPr>
        <w:spacing w:after="80"/>
      </w:pPr>
      <w:r>
        <w:rPr>
          <w:b w:val="false"/>
          <w:bCs w:val="false"/>
          <w:sz w:val="22"/>
          <w:szCs w:val="22"/>
        </w:rPr>
        <w:t xml:space="preserve">Automated scoring: citation accuracy, risk classification accuracy, refusal correctness</w:t>
      </w:r>
    </w:p>
    <w:p>
      <w:pPr>
        <w:pStyle w:val="ListParagraph"/>
        <w:numPr>
          <w:ilvl w:val="0"/>
          <w:numId w:val="1"/>
        </w:numPr>
        <w:spacing w:after="80"/>
      </w:pPr>
      <w:r>
        <w:rPr>
          <w:b w:val="false"/>
          <w:bCs w:val="false"/>
          <w:sz w:val="22"/>
          <w:szCs w:val="22"/>
        </w:rPr>
        <w:t xml:space="preserve">Release gate: a model or prompt change cannot go live without passing the benchmark threshold</w:t>
      </w:r>
    </w:p>
    <w:p>
      <w:pPr>
        <w:pStyle w:val="Heading2"/>
        <w:spacing w:after="120" w:before="240"/>
      </w:pPr>
      <w:r>
        <w:t xml:space="preserve">Exit criteria</w:t>
      </w:r>
    </w:p>
    <w:p>
      <w:pPr>
        <w:pStyle w:val="ListParagraph"/>
        <w:numPr>
          <w:ilvl w:val="0"/>
          <w:numId w:val="1"/>
        </w:numPr>
        <w:spacing w:after="80"/>
      </w:pPr>
      <w:r>
        <w:rPr>
          <w:b w:val="false"/>
          <w:bCs w:val="false"/>
          <w:sz w:val="22"/>
          <w:szCs w:val="22"/>
        </w:rPr>
        <w:t xml:space="preserve">A documented evaluation report exists for the current pipeline version, with pass/fail thresholds recorded</w:t>
      </w:r>
    </w:p>
    <w:p>
      <w:pPr>
        <w:pStyle w:val="Heading1"/>
        <w:spacing w:after="80" w:before="400"/>
      </w:pPr>
      <w:r>
        <w:rPr>
          <w:b/>
          <w:bCs/>
        </w:rPr>
        <w:t xml:space="preserve">Phase 5 — Licensing and jurisdiction scale-up</w:t>
      </w:r>
    </w:p>
    <w:p>
      <w:pPr>
        <w:spacing w:after="200"/>
      </w:pPr>
      <w:r>
        <w:rPr>
          <w:i/>
          <w:iCs/>
          <w:color w:val="5B6B6A"/>
          <w:sz w:val="20"/>
          <w:szCs w:val="20"/>
        </w:rPr>
        <w:t xml:space="preserve">Suggested duration: month 4 onward, ongoing   |   Team: product/business lead plus engineering support</w:t>
      </w:r>
    </w:p>
    <w:p>
      <w:pPr>
        <w:spacing w:after="160"/>
      </w:pPr>
      <w:r>
        <w:rPr>
          <w:sz w:val="22"/>
          <w:szCs w:val="22"/>
        </w:rPr>
        <w:t xml:space="preserve">Goal: expand beyond free public-domain sources into licensed content (FASB, ICAEW, AICPA) and additional jurisdictions, only after Phases 0 to 4 have proven the model works end-to-end on free sources.</w:t>
      </w:r>
    </w:p>
    <w:p>
      <w:pPr>
        <w:pStyle w:val="Heading2"/>
        <w:spacing w:after="120" w:before="240"/>
      </w:pPr>
      <w:r>
        <w:t xml:space="preserve">Deliverables</w:t>
      </w:r>
    </w:p>
    <w:p>
      <w:pPr>
        <w:pStyle w:val="ListParagraph"/>
        <w:numPr>
          <w:ilvl w:val="0"/>
          <w:numId w:val="1"/>
        </w:numPr>
        <w:spacing w:after="80"/>
      </w:pPr>
      <w:r>
        <w:rPr>
          <w:b w:val="false"/>
          <w:bCs w:val="false"/>
          <w:sz w:val="22"/>
          <w:szCs w:val="22"/>
        </w:rPr>
        <w:t xml:space="preserve">Business conversations with standards bodies for licensed content access</w:t>
      </w:r>
    </w:p>
    <w:p>
      <w:pPr>
        <w:pStyle w:val="ListParagraph"/>
        <w:numPr>
          <w:ilvl w:val="0"/>
          <w:numId w:val="1"/>
        </w:numPr>
        <w:spacing w:after="80"/>
      </w:pPr>
      <w:r>
        <w:rPr>
          <w:b w:val="false"/>
          <w:bCs w:val="false"/>
          <w:sz w:val="22"/>
          <w:szCs w:val="22"/>
        </w:rPr>
        <w:t xml:space="preserve">Provider due-diligence records for any new data or model vendor</w:t>
      </w:r>
    </w:p>
    <w:p>
      <w:pPr>
        <w:pStyle w:val="ListParagraph"/>
        <w:numPr>
          <w:ilvl w:val="0"/>
          <w:numId w:val="1"/>
        </w:numPr>
        <w:spacing w:after="80"/>
      </w:pPr>
      <w:r>
        <w:rPr>
          <w:b w:val="false"/>
          <w:bCs w:val="false"/>
          <w:sz w:val="22"/>
          <w:szCs w:val="22"/>
        </w:rPr>
        <w:t xml:space="preserve">A third jurisdiction added to the source register following the same ingestion pattern as Phase 0</w:t>
      </w:r>
    </w:p>
    <w:p>
      <w:pPr>
        <w:pStyle w:val="Heading2"/>
        <w:spacing w:after="120" w:before="240"/>
      </w:pPr>
      <w:r>
        <w:t xml:space="preserve">Exit criteria</w:t>
      </w:r>
    </w:p>
    <w:p>
      <w:pPr>
        <w:pStyle w:val="ListParagraph"/>
        <w:numPr>
          <w:ilvl w:val="0"/>
          <w:numId w:val="1"/>
        </w:numPr>
        <w:spacing w:after="80"/>
      </w:pPr>
      <w:r>
        <w:rPr>
          <w:b w:val="false"/>
          <w:bCs w:val="false"/>
          <w:sz w:val="22"/>
          <w:szCs w:val="22"/>
        </w:rPr>
        <w:t xml:space="preserve">At least one paid content license secured and its content flowing through the same pipeline built in Phase 0 to 1</w:t>
      </w:r>
    </w:p>
    <w:p>
      <w:r>
        <w:br w:type="page"/>
      </w:r>
    </w:p>
    <w:p>
      <w:pPr>
        <w:pStyle w:val="Heading1"/>
        <w:spacing w:after="160" w:before="360"/>
      </w:pPr>
      <w:r>
        <w:t xml:space="preserve">Recommended tech stack</w:t>
      </w:r>
    </w:p>
    <w:tbl>
      <w:tblPr>
        <w:tblW w:type="dxa" w:w="10800"/>
        <w:tblBorders>
          <w:top w:val="single" w:color="D3D1C7" w:sz="2"/>
          <w:left w:val="single" w:color="D3D1C7" w:sz="2"/>
          <w:bottom w:val="single" w:color="D3D1C7" w:sz="2"/>
          <w:right w:val="single" w:color="D3D1C7" w:sz="2"/>
          <w:insideH w:val="single" w:color="D3D1C7" w:sz="2"/>
          <w:insideV w:val="single" w:color="D3D1C7" w:sz="2"/>
        </w:tblBorders>
      </w:tblPr>
      <w:tblGrid>
        <w:gridCol w:w="2400"/>
        <w:gridCol w:w="3800"/>
        <w:gridCol w:w="4600"/>
      </w:tblGrid>
      <w:tr>
        <w:trPr>
          <w:tblHeader/>
        </w:trPr>
        <w:tc>
          <w:tcPr>
            <w:tcW w:type="dxa" w:w="2400"/>
            <w:shd w:fill="1E2761" w:val="clear"/>
            <w:tcMar>
              <w:top w:type="dxa" w:w="100"/>
              <w:left w:type="dxa" w:w="120"/>
              <w:bottom w:type="dxa" w:w="100"/>
              <w:right w:type="dxa" w:w="120"/>
            </w:tcMar>
          </w:tcPr>
          <w:p>
            <w:r>
              <w:rPr>
                <w:b/>
                <w:bCs/>
                <w:color w:val="FFFFFF"/>
                <w:sz w:val="20"/>
                <w:szCs w:val="20"/>
              </w:rPr>
              <w:t xml:space="preserve">Layer</w:t>
            </w:r>
          </w:p>
        </w:tc>
        <w:tc>
          <w:tcPr>
            <w:tcW w:type="dxa" w:w="3800"/>
            <w:shd w:fill="1E2761" w:val="clear"/>
            <w:tcMar>
              <w:top w:type="dxa" w:w="100"/>
              <w:left w:type="dxa" w:w="120"/>
              <w:bottom w:type="dxa" w:w="100"/>
              <w:right w:type="dxa" w:w="120"/>
            </w:tcMar>
          </w:tcPr>
          <w:p>
            <w:r>
              <w:rPr>
                <w:b/>
                <w:bCs/>
                <w:color w:val="FFFFFF"/>
                <w:sz w:val="20"/>
                <w:szCs w:val="20"/>
              </w:rPr>
              <w:t xml:space="preserve">Choice</w:t>
            </w:r>
          </w:p>
        </w:tc>
        <w:tc>
          <w:tcPr>
            <w:tcW w:type="dxa" w:w="4600"/>
            <w:shd w:fill="1E2761" w:val="clear"/>
            <w:tcMar>
              <w:top w:type="dxa" w:w="100"/>
              <w:left w:type="dxa" w:w="120"/>
              <w:bottom w:type="dxa" w:w="100"/>
              <w:right w:type="dxa" w:w="120"/>
            </w:tcMar>
          </w:tcPr>
          <w:p>
            <w:r>
              <w:rPr>
                <w:b/>
                <w:bCs/>
                <w:color w:val="FFFFFF"/>
                <w:sz w:val="20"/>
                <w:szCs w:val="20"/>
              </w:rPr>
              <w:t xml:space="preserve">Why</w:t>
            </w:r>
          </w:p>
        </w:tc>
      </w:tr>
      <w:tr>
        <w:tc>
          <w:tcPr>
            <w:tcW w:type="dxa" w:w="2400"/>
            <w:tcMar>
              <w:top w:type="dxa" w:w="100"/>
              <w:left w:type="dxa" w:w="120"/>
              <w:bottom w:type="dxa" w:w="100"/>
              <w:right w:type="dxa" w:w="120"/>
            </w:tcMar>
          </w:tcPr>
          <w:p>
            <w:r>
              <w:rPr>
                <w:sz w:val="20"/>
                <w:szCs w:val="20"/>
              </w:rPr>
              <w:t xml:space="preserve">Backend API</w:t>
            </w:r>
          </w:p>
        </w:tc>
        <w:tc>
          <w:tcPr>
            <w:tcW w:type="dxa" w:w="3800"/>
            <w:tcMar>
              <w:top w:type="dxa" w:w="100"/>
              <w:left w:type="dxa" w:w="120"/>
              <w:bottom w:type="dxa" w:w="100"/>
              <w:right w:type="dxa" w:w="120"/>
            </w:tcMar>
          </w:tcPr>
          <w:p>
            <w:r>
              <w:rPr>
                <w:sz w:val="20"/>
                <w:szCs w:val="20"/>
              </w:rPr>
              <w:t xml:space="preserve">FastAPI (async)</w:t>
            </w:r>
          </w:p>
        </w:tc>
        <w:tc>
          <w:tcPr>
            <w:tcW w:type="dxa" w:w="4600"/>
            <w:tcMar>
              <w:top w:type="dxa" w:w="100"/>
              <w:left w:type="dxa" w:w="120"/>
              <w:bottom w:type="dxa" w:w="100"/>
              <w:right w:type="dxa" w:w="120"/>
            </w:tcMar>
          </w:tcPr>
          <w:p>
            <w:r>
              <w:rPr>
                <w:sz w:val="20"/>
                <w:szCs w:val="20"/>
              </w:rPr>
              <w:t xml:space="preserve">Already your working environment; async fits I/O-heavy retrieval calls</w:t>
            </w:r>
          </w:p>
        </w:tc>
      </w:tr>
      <w:tr>
        <w:tc>
          <w:tcPr>
            <w:tcW w:type="dxa" w:w="2400"/>
            <w:tcMar>
              <w:top w:type="dxa" w:w="100"/>
              <w:left w:type="dxa" w:w="120"/>
              <w:bottom w:type="dxa" w:w="100"/>
              <w:right w:type="dxa" w:w="120"/>
            </w:tcMar>
          </w:tcPr>
          <w:p>
            <w:r>
              <w:rPr>
                <w:sz w:val="20"/>
                <w:szCs w:val="20"/>
              </w:rPr>
              <w:t xml:space="preserve">Database</w:t>
            </w:r>
          </w:p>
        </w:tc>
        <w:tc>
          <w:tcPr>
            <w:tcW w:type="dxa" w:w="3800"/>
            <w:tcMar>
              <w:top w:type="dxa" w:w="100"/>
              <w:left w:type="dxa" w:w="120"/>
              <w:bottom w:type="dxa" w:w="100"/>
              <w:right w:type="dxa" w:w="120"/>
            </w:tcMar>
          </w:tcPr>
          <w:p>
            <w:r>
              <w:rPr>
                <w:sz w:val="20"/>
                <w:szCs w:val="20"/>
              </w:rPr>
              <w:t xml:space="preserve">PostgreSQL</w:t>
            </w:r>
          </w:p>
        </w:tc>
        <w:tc>
          <w:tcPr>
            <w:tcW w:type="dxa" w:w="4600"/>
            <w:tcMar>
              <w:top w:type="dxa" w:w="100"/>
              <w:left w:type="dxa" w:w="120"/>
              <w:bottom w:type="dxa" w:w="100"/>
              <w:right w:type="dxa" w:w="120"/>
            </w:tcMar>
          </w:tcPr>
          <w:p>
            <w:r>
              <w:rPr>
                <w:sz w:val="20"/>
                <w:szCs w:val="20"/>
              </w:rPr>
              <w:t xml:space="preserve">Relational integrity for source metadata; pgvector extension for embeddings later</w:t>
            </w:r>
          </w:p>
        </w:tc>
      </w:tr>
      <w:tr>
        <w:tc>
          <w:tcPr>
            <w:tcW w:type="dxa" w:w="2400"/>
            <w:tcMar>
              <w:top w:type="dxa" w:w="100"/>
              <w:left w:type="dxa" w:w="120"/>
              <w:bottom w:type="dxa" w:w="100"/>
              <w:right w:type="dxa" w:w="120"/>
            </w:tcMar>
          </w:tcPr>
          <w:p>
            <w:r>
              <w:rPr>
                <w:sz w:val="20"/>
                <w:szCs w:val="20"/>
              </w:rPr>
              <w:t xml:space="preserve">Ingestion</w:t>
            </w:r>
          </w:p>
        </w:tc>
        <w:tc>
          <w:tcPr>
            <w:tcW w:type="dxa" w:w="3800"/>
            <w:tcMar>
              <w:top w:type="dxa" w:w="100"/>
              <w:left w:type="dxa" w:w="120"/>
              <w:bottom w:type="dxa" w:w="100"/>
              <w:right w:type="dxa" w:w="120"/>
            </w:tcMar>
          </w:tcPr>
          <w:p>
            <w:r>
              <w:rPr>
                <w:sz w:val="20"/>
                <w:szCs w:val="20"/>
              </w:rPr>
              <w:t xml:space="preserve">httpx, pdfplumber, BeautifulSoup</w:t>
            </w:r>
          </w:p>
        </w:tc>
        <w:tc>
          <w:tcPr>
            <w:tcW w:type="dxa" w:w="4600"/>
            <w:tcMar>
              <w:top w:type="dxa" w:w="100"/>
              <w:left w:type="dxa" w:w="120"/>
              <w:bottom w:type="dxa" w:w="100"/>
              <w:right w:type="dxa" w:w="120"/>
            </w:tcMar>
          </w:tcPr>
          <w:p>
            <w:r>
              <w:rPr>
                <w:sz w:val="20"/>
                <w:szCs w:val="20"/>
              </w:rPr>
              <w:t xml:space="preserve">Matches the Phase 0 skeleton already built</w:t>
            </w:r>
          </w:p>
        </w:tc>
      </w:tr>
      <w:tr>
        <w:tc>
          <w:tcPr>
            <w:tcW w:type="dxa" w:w="2400"/>
            <w:tcMar>
              <w:top w:type="dxa" w:w="100"/>
              <w:left w:type="dxa" w:w="120"/>
              <w:bottom w:type="dxa" w:w="100"/>
              <w:right w:type="dxa" w:w="120"/>
            </w:tcMar>
          </w:tcPr>
          <w:p>
            <w:r>
              <w:rPr>
                <w:sz w:val="20"/>
                <w:szCs w:val="20"/>
              </w:rPr>
              <w:t xml:space="preserve">LLM layer</w:t>
            </w:r>
          </w:p>
        </w:tc>
        <w:tc>
          <w:tcPr>
            <w:tcW w:type="dxa" w:w="3800"/>
            <w:tcMar>
              <w:top w:type="dxa" w:w="100"/>
              <w:left w:type="dxa" w:w="120"/>
              <w:bottom w:type="dxa" w:w="100"/>
              <w:right w:type="dxa" w:w="120"/>
            </w:tcMar>
          </w:tcPr>
          <w:p>
            <w:r>
              <w:rPr>
                <w:sz w:val="20"/>
                <w:szCs w:val="20"/>
              </w:rPr>
              <w:t xml:space="preserve">Provider-agnostic gateway (Claude, GPT, Gemini)</w:t>
            </w:r>
          </w:p>
        </w:tc>
        <w:tc>
          <w:tcPr>
            <w:tcW w:type="dxa" w:w="4600"/>
            <w:tcMar>
              <w:top w:type="dxa" w:w="100"/>
              <w:left w:type="dxa" w:w="120"/>
              <w:bottom w:type="dxa" w:w="100"/>
              <w:right w:type="dxa" w:w="120"/>
            </w:tcMar>
          </w:tcPr>
          <w:p>
            <w:r>
              <w:rPr>
                <w:sz w:val="20"/>
                <w:szCs w:val="20"/>
              </w:rPr>
              <w:t xml:space="preserve">Avoids single-provider lock-in, matches ZL-T0-06 model strategy doc</w:t>
            </w:r>
          </w:p>
        </w:tc>
      </w:tr>
      <w:tr>
        <w:tc>
          <w:tcPr>
            <w:tcW w:type="dxa" w:w="2400"/>
            <w:tcMar>
              <w:top w:type="dxa" w:w="100"/>
              <w:left w:type="dxa" w:w="120"/>
              <w:bottom w:type="dxa" w:w="100"/>
              <w:right w:type="dxa" w:w="120"/>
            </w:tcMar>
          </w:tcPr>
          <w:p>
            <w:r>
              <w:rPr>
                <w:sz w:val="20"/>
                <w:szCs w:val="20"/>
              </w:rPr>
              <w:t xml:space="preserve">Frontend</w:t>
            </w:r>
          </w:p>
        </w:tc>
        <w:tc>
          <w:tcPr>
            <w:tcW w:type="dxa" w:w="3800"/>
            <w:tcMar>
              <w:top w:type="dxa" w:w="100"/>
              <w:left w:type="dxa" w:w="120"/>
              <w:bottom w:type="dxa" w:w="100"/>
              <w:right w:type="dxa" w:w="120"/>
            </w:tcMar>
          </w:tcPr>
          <w:p>
            <w:r>
              <w:rPr>
                <w:sz w:val="20"/>
                <w:szCs w:val="20"/>
              </w:rPr>
              <w:t xml:space="preserve">React</w:t>
            </w:r>
          </w:p>
        </w:tc>
        <w:tc>
          <w:tcPr>
            <w:tcW w:type="dxa" w:w="4600"/>
            <w:tcMar>
              <w:top w:type="dxa" w:w="100"/>
              <w:left w:type="dxa" w:w="120"/>
              <w:bottom w:type="dxa" w:w="100"/>
              <w:right w:type="dxa" w:w="120"/>
            </w:tcMar>
          </w:tcPr>
          <w:p>
            <w:r>
              <w:rPr>
                <w:sz w:val="20"/>
                <w:szCs w:val="20"/>
              </w:rPr>
              <w:t xml:space="preserve">Matches the Front-End Architecture spec's component system</w:t>
            </w:r>
          </w:p>
        </w:tc>
      </w:tr>
      <w:tr>
        <w:tc>
          <w:tcPr>
            <w:tcW w:type="dxa" w:w="2400"/>
            <w:tcMar>
              <w:top w:type="dxa" w:w="100"/>
              <w:left w:type="dxa" w:w="120"/>
              <w:bottom w:type="dxa" w:w="100"/>
              <w:right w:type="dxa" w:w="120"/>
            </w:tcMar>
          </w:tcPr>
          <w:p>
            <w:r>
              <w:rPr>
                <w:sz w:val="20"/>
                <w:szCs w:val="20"/>
              </w:rPr>
              <w:t xml:space="preserve">Admin dashboard</w:t>
            </w:r>
          </w:p>
        </w:tc>
        <w:tc>
          <w:tcPr>
            <w:tcW w:type="dxa" w:w="3800"/>
            <w:tcMar>
              <w:top w:type="dxa" w:w="100"/>
              <w:left w:type="dxa" w:w="120"/>
              <w:bottom w:type="dxa" w:w="100"/>
              <w:right w:type="dxa" w:w="120"/>
            </w:tcMar>
          </w:tcPr>
          <w:p>
            <w:r>
              <w:rPr>
                <w:sz w:val="20"/>
                <w:szCs w:val="20"/>
              </w:rPr>
              <w:t xml:space="preserve">React with the sidebar pattern already prototyped</w:t>
            </w:r>
          </w:p>
        </w:tc>
        <w:tc>
          <w:tcPr>
            <w:tcW w:type="dxa" w:w="4600"/>
            <w:tcMar>
              <w:top w:type="dxa" w:w="100"/>
              <w:left w:type="dxa" w:w="120"/>
              <w:bottom w:type="dxa" w:w="100"/>
              <w:right w:type="dxa" w:w="120"/>
            </w:tcMar>
          </w:tcPr>
          <w:p>
            <w:r>
              <w:rPr>
                <w:sz w:val="20"/>
                <w:szCs w:val="20"/>
              </w:rPr>
              <w:t xml:space="preserve">Reuse the interactive mockup structure directly</w:t>
            </w:r>
          </w:p>
        </w:tc>
      </w:tr>
      <w:tr>
        <w:tc>
          <w:tcPr>
            <w:tcW w:type="dxa" w:w="2400"/>
            <w:tcMar>
              <w:top w:type="dxa" w:w="100"/>
              <w:left w:type="dxa" w:w="120"/>
              <w:bottom w:type="dxa" w:w="100"/>
              <w:right w:type="dxa" w:w="120"/>
            </w:tcMar>
          </w:tcPr>
          <w:p>
            <w:r>
              <w:rPr>
                <w:sz w:val="20"/>
                <w:szCs w:val="20"/>
              </w:rPr>
              <w:t xml:space="preserve">Background jobs</w:t>
            </w:r>
          </w:p>
        </w:tc>
        <w:tc>
          <w:tcPr>
            <w:tcW w:type="dxa" w:w="3800"/>
            <w:tcMar>
              <w:top w:type="dxa" w:w="100"/>
              <w:left w:type="dxa" w:w="120"/>
              <w:bottom w:type="dxa" w:w="100"/>
              <w:right w:type="dxa" w:w="120"/>
            </w:tcMar>
          </w:tcPr>
          <w:p>
            <w:r>
              <w:rPr>
                <w:sz w:val="20"/>
                <w:szCs w:val="20"/>
              </w:rPr>
              <w:t xml:space="preserve">Celery or APScheduler</w:t>
            </w:r>
          </w:p>
        </w:tc>
        <w:tc>
          <w:tcPr>
            <w:tcW w:type="dxa" w:w="4600"/>
            <w:tcMar>
              <w:top w:type="dxa" w:w="100"/>
              <w:left w:type="dxa" w:w="120"/>
              <w:bottom w:type="dxa" w:w="100"/>
              <w:right w:type="dxa" w:w="120"/>
            </w:tcMar>
          </w:tcPr>
          <w:p>
            <w:r>
              <w:rPr>
                <w:sz w:val="20"/>
                <w:szCs w:val="20"/>
              </w:rPr>
              <w:t xml:space="preserve">For scheduled source re-checks and drift detection</w:t>
            </w:r>
          </w:p>
        </w:tc>
      </w:tr>
    </w:tbl>
    <w:p>
      <w:pPr>
        <w:pStyle w:val="Heading1"/>
        <w:spacing w:after="160" w:before="360"/>
      </w:pPr>
      <w:r>
        <w:t xml:space="preserve">Competitive positioning: ZoikoLogia vs Thomson Reuters CoCounsel</w:t>
      </w:r>
    </w:p>
    <w:tbl>
      <w:tblPr>
        <w:tblW w:type="dxa" w:w="10800"/>
        <w:tblBorders>
          <w:top w:val="single" w:color="D3D1C7" w:sz="2"/>
          <w:left w:val="single" w:color="D3D1C7" w:sz="2"/>
          <w:bottom w:val="single" w:color="D3D1C7" w:sz="2"/>
          <w:right w:val="single" w:color="D3D1C7" w:sz="2"/>
          <w:insideH w:val="single" w:color="D3D1C7" w:sz="2"/>
          <w:insideV w:val="single" w:color="D3D1C7" w:sz="2"/>
        </w:tblBorders>
      </w:tblPr>
      <w:tblGrid>
        <w:gridCol w:w="2200"/>
        <w:gridCol w:w="4300"/>
        <w:gridCol w:w="4300"/>
      </w:tblGrid>
      <w:tr>
        <w:trPr>
          <w:tblHeader/>
        </w:trPr>
        <w:tc>
          <w:tcPr>
            <w:tcW w:type="dxa" w:w="2200"/>
            <w:shd w:fill="1E2761" w:val="clear"/>
            <w:tcMar>
              <w:top w:type="dxa" w:w="100"/>
              <w:left w:type="dxa" w:w="120"/>
              <w:bottom w:type="dxa" w:w="100"/>
              <w:right w:type="dxa" w:w="120"/>
            </w:tcMar>
          </w:tcPr>
          <w:p>
            <w:r>
              <w:rPr>
                <w:b/>
                <w:bCs/>
                <w:color w:val="FFFFFF"/>
                <w:sz w:val="20"/>
                <w:szCs w:val="20"/>
              </w:rPr>
              <w:t xml:space="preserve">Dimension</w:t>
            </w:r>
          </w:p>
        </w:tc>
        <w:tc>
          <w:tcPr>
            <w:tcW w:type="dxa" w:w="4300"/>
            <w:shd w:fill="1E2761" w:val="clear"/>
            <w:tcMar>
              <w:top w:type="dxa" w:w="100"/>
              <w:left w:type="dxa" w:w="120"/>
              <w:bottom w:type="dxa" w:w="100"/>
              <w:right w:type="dxa" w:w="120"/>
            </w:tcMar>
          </w:tcPr>
          <w:p>
            <w:r>
              <w:rPr>
                <w:b/>
                <w:bCs/>
                <w:color w:val="FFFFFF"/>
                <w:sz w:val="20"/>
                <w:szCs w:val="20"/>
              </w:rPr>
              <w:t xml:space="preserve">Thomson Reuters CoCounsel</w:t>
            </w:r>
          </w:p>
        </w:tc>
        <w:tc>
          <w:tcPr>
            <w:tcW w:type="dxa" w:w="4300"/>
            <w:shd w:fill="1E2761" w:val="clear"/>
            <w:tcMar>
              <w:top w:type="dxa" w:w="100"/>
              <w:left w:type="dxa" w:w="120"/>
              <w:bottom w:type="dxa" w:w="100"/>
              <w:right w:type="dxa" w:w="120"/>
            </w:tcMar>
          </w:tcPr>
          <w:p>
            <w:r>
              <w:rPr>
                <w:b/>
                <w:bCs/>
                <w:color w:val="FFFFFF"/>
                <w:sz w:val="20"/>
                <w:szCs w:val="20"/>
              </w:rPr>
              <w:t xml:space="preserve">ZoikoLogia's opportunity</w:t>
            </w:r>
          </w:p>
        </w:tc>
      </w:tr>
      <w:tr>
        <w:tc>
          <w:tcPr>
            <w:tcW w:type="dxa" w:w="2200"/>
            <w:tcMar>
              <w:top w:type="dxa" w:w="100"/>
              <w:left w:type="dxa" w:w="120"/>
              <w:bottom w:type="dxa" w:w="100"/>
              <w:right w:type="dxa" w:w="120"/>
            </w:tcMar>
          </w:tcPr>
          <w:p>
            <w:r>
              <w:rPr>
                <w:sz w:val="20"/>
                <w:szCs w:val="20"/>
              </w:rPr>
              <w:t xml:space="preserve">Content moat</w:t>
            </w:r>
          </w:p>
        </w:tc>
        <w:tc>
          <w:tcPr>
            <w:tcW w:type="dxa" w:w="4300"/>
            <w:tcMar>
              <w:top w:type="dxa" w:w="100"/>
              <w:left w:type="dxa" w:w="120"/>
              <w:bottom w:type="dxa" w:w="100"/>
              <w:right w:type="dxa" w:w="120"/>
            </w:tcMar>
          </w:tcPr>
          <w:p>
            <w:r>
              <w:rPr>
                <w:sz w:val="20"/>
                <w:szCs w:val="20"/>
              </w:rPr>
              <w:t xml:space="preserve">175 years of licensed content, 4,500+ expert reviewers</w:t>
            </w:r>
          </w:p>
        </w:tc>
        <w:tc>
          <w:tcPr>
            <w:tcW w:type="dxa" w:w="4300"/>
            <w:tcMar>
              <w:top w:type="dxa" w:w="100"/>
              <w:left w:type="dxa" w:w="120"/>
              <w:bottom w:type="dxa" w:w="100"/>
              <w:right w:type="dxa" w:w="120"/>
            </w:tcMar>
          </w:tcPr>
          <w:p>
            <w:r>
              <w:rPr>
                <w:sz w:val="20"/>
                <w:szCs w:val="20"/>
              </w:rPr>
              <w:t xml:space="preserve">Start narrow and free (HMRC, IRS), prove the model, license later</w:t>
            </w:r>
          </w:p>
        </w:tc>
      </w:tr>
      <w:tr>
        <w:tc>
          <w:tcPr>
            <w:tcW w:type="dxa" w:w="2200"/>
            <w:tcMar>
              <w:top w:type="dxa" w:w="100"/>
              <w:left w:type="dxa" w:w="120"/>
              <w:bottom w:type="dxa" w:w="100"/>
              <w:right w:type="dxa" w:w="120"/>
            </w:tcMar>
          </w:tcPr>
          <w:p>
            <w:r>
              <w:rPr>
                <w:sz w:val="20"/>
                <w:szCs w:val="20"/>
              </w:rPr>
              <w:t xml:space="preserve">Jurisdiction coverage</w:t>
            </w:r>
          </w:p>
        </w:tc>
        <w:tc>
          <w:tcPr>
            <w:tcW w:type="dxa" w:w="4300"/>
            <w:tcMar>
              <w:top w:type="dxa" w:w="100"/>
              <w:left w:type="dxa" w:w="120"/>
              <w:bottom w:type="dxa" w:w="100"/>
              <w:right w:type="dxa" w:w="120"/>
            </w:tcMar>
          </w:tcPr>
          <w:p>
            <w:r>
              <w:rPr>
                <w:sz w:val="20"/>
                <w:szCs w:val="20"/>
              </w:rPr>
              <w:t xml:space="preserve">US-focused, expanding internationally</w:t>
            </w:r>
          </w:p>
        </w:tc>
        <w:tc>
          <w:tcPr>
            <w:tcW w:type="dxa" w:w="4300"/>
            <w:tcMar>
              <w:top w:type="dxa" w:w="100"/>
              <w:left w:type="dxa" w:w="120"/>
              <w:bottom w:type="dxa" w:w="100"/>
              <w:right w:type="dxa" w:w="120"/>
            </w:tcMar>
          </w:tcPr>
          <w:p>
            <w:r>
              <w:rPr>
                <w:sz w:val="20"/>
                <w:szCs w:val="20"/>
              </w:rPr>
              <w:t xml:space="preserve">UK plus US from day one, phased rollout to more</w:t>
            </w:r>
          </w:p>
        </w:tc>
      </w:tr>
      <w:tr>
        <w:tc>
          <w:tcPr>
            <w:tcW w:type="dxa" w:w="2200"/>
            <w:tcMar>
              <w:top w:type="dxa" w:w="100"/>
              <w:left w:type="dxa" w:w="120"/>
              <w:bottom w:type="dxa" w:w="100"/>
              <w:right w:type="dxa" w:w="120"/>
            </w:tcMar>
          </w:tcPr>
          <w:p>
            <w:r>
              <w:rPr>
                <w:sz w:val="20"/>
                <w:szCs w:val="20"/>
              </w:rPr>
              <w:t xml:space="preserve">Admin visibility</w:t>
            </w:r>
          </w:p>
        </w:tc>
        <w:tc>
          <w:tcPr>
            <w:tcW w:type="dxa" w:w="4300"/>
            <w:tcMar>
              <w:top w:type="dxa" w:w="100"/>
              <w:left w:type="dxa" w:w="120"/>
              <w:bottom w:type="dxa" w:w="100"/>
              <w:right w:type="dxa" w:w="120"/>
            </w:tcMar>
          </w:tcPr>
          <w:p>
            <w:r>
              <w:rPr>
                <w:sz w:val="20"/>
                <w:szCs w:val="20"/>
              </w:rPr>
              <w:t xml:space="preserve">Limited public detail on admin-side controls</w:t>
            </w:r>
          </w:p>
        </w:tc>
        <w:tc>
          <w:tcPr>
            <w:tcW w:type="dxa" w:w="4300"/>
            <w:tcMar>
              <w:top w:type="dxa" w:w="100"/>
              <w:left w:type="dxa" w:w="120"/>
              <w:bottom w:type="dxa" w:w="100"/>
              <w:right w:type="dxa" w:w="120"/>
            </w:tcMar>
          </w:tcPr>
          <w:p>
            <w:r>
              <w:rPr>
                <w:sz w:val="20"/>
                <w:szCs w:val="20"/>
              </w:rPr>
              <w:t xml:space="preserve">Source-drift alerts, confidence-with-reasoning, license expiry tracking</w:t>
            </w:r>
          </w:p>
        </w:tc>
      </w:tr>
      <w:tr>
        <w:tc>
          <w:tcPr>
            <w:tcW w:type="dxa" w:w="2200"/>
            <w:tcMar>
              <w:top w:type="dxa" w:w="100"/>
              <w:left w:type="dxa" w:w="120"/>
              <w:bottom w:type="dxa" w:w="100"/>
              <w:right w:type="dxa" w:w="120"/>
            </w:tcMar>
          </w:tcPr>
          <w:p>
            <w:r>
              <w:rPr>
                <w:sz w:val="20"/>
                <w:szCs w:val="20"/>
              </w:rPr>
              <w:t xml:space="preserve">Embedding model</w:t>
            </w:r>
          </w:p>
        </w:tc>
        <w:tc>
          <w:tcPr>
            <w:tcW w:type="dxa" w:w="4300"/>
            <w:tcMar>
              <w:top w:type="dxa" w:w="100"/>
              <w:left w:type="dxa" w:w="120"/>
              <w:bottom w:type="dxa" w:w="100"/>
              <w:right w:type="dxa" w:w="120"/>
            </w:tcMar>
          </w:tcPr>
          <w:p>
            <w:r>
              <w:rPr>
                <w:sz w:val="20"/>
                <w:szCs w:val="20"/>
              </w:rPr>
              <w:t xml:space="preserve">Embedded in Thomson Reuters' own software suite</w:t>
            </w:r>
          </w:p>
        </w:tc>
        <w:tc>
          <w:tcPr>
            <w:tcW w:type="dxa" w:w="4300"/>
            <w:tcMar>
              <w:top w:type="dxa" w:w="100"/>
              <w:left w:type="dxa" w:w="120"/>
              <w:bottom w:type="dxa" w:w="100"/>
              <w:right w:type="dxa" w:w="120"/>
            </w:tcMar>
          </w:tcPr>
          <w:p>
            <w:r>
              <w:rPr>
                <w:sz w:val="20"/>
                <w:szCs w:val="20"/>
              </w:rPr>
              <w:t xml:space="preserve">Embedded in ZoikoSuite, same principle, smaller footprint to start</w:t>
            </w:r>
          </w:p>
        </w:tc>
      </w:tr>
      <w:tr>
        <w:tc>
          <w:tcPr>
            <w:tcW w:type="dxa" w:w="2200"/>
            <w:tcMar>
              <w:top w:type="dxa" w:w="100"/>
              <w:left w:type="dxa" w:w="120"/>
              <w:bottom w:type="dxa" w:w="100"/>
              <w:right w:type="dxa" w:w="120"/>
            </w:tcMar>
          </w:tcPr>
          <w:p>
            <w:r>
              <w:rPr>
                <w:sz w:val="20"/>
                <w:szCs w:val="20"/>
              </w:rPr>
              <w:t xml:space="preserve">Task execution</w:t>
            </w:r>
          </w:p>
        </w:tc>
        <w:tc>
          <w:tcPr>
            <w:tcW w:type="dxa" w:w="4300"/>
            <w:tcMar>
              <w:top w:type="dxa" w:w="100"/>
              <w:left w:type="dxa" w:w="120"/>
              <w:bottom w:type="dxa" w:w="100"/>
              <w:right w:type="dxa" w:w="120"/>
            </w:tcMar>
          </w:tcPr>
          <w:p>
            <w:r>
              <w:rPr>
                <w:sz w:val="20"/>
                <w:szCs w:val="20"/>
              </w:rPr>
              <w:t xml:space="preserve">Can prepare complete, filed-ready tax returns</w:t>
            </w:r>
          </w:p>
        </w:tc>
        <w:tc>
          <w:tcPr>
            <w:tcW w:type="dxa" w:w="4300"/>
            <w:tcMar>
              <w:top w:type="dxa" w:w="100"/>
              <w:left w:type="dxa" w:w="120"/>
              <w:bottom w:type="dxa" w:w="100"/>
              <w:right w:type="dxa" w:w="120"/>
            </w:tcMar>
          </w:tcPr>
          <w:p>
            <w:r>
              <w:rPr>
                <w:sz w:val="20"/>
                <w:szCs w:val="20"/>
              </w:rPr>
              <w:t xml:space="preserve">Longer-term roadmap item once core trust model is proven</w:t>
            </w:r>
          </w:p>
        </w:tc>
      </w:tr>
    </w:tbl>
    <w:p>
      <w:r>
        <w:br w:type="page"/>
      </w:r>
    </w:p>
    <w:p>
      <w:pPr>
        <w:pStyle w:val="Heading1"/>
        <w:spacing w:after="160" w:before="360"/>
      </w:pPr>
      <w:r>
        <w:t xml:space="preserve">Recommended first two-week sprint</w:t>
      </w:r>
    </w:p>
    <w:p>
      <w:pPr>
        <w:spacing w:after="160"/>
      </w:pPr>
      <w:r>
        <w:rPr>
          <w:sz w:val="22"/>
          <w:szCs w:val="22"/>
        </w:rPr>
        <w:t xml:space="preserve">Everything below uses only free, public-domain sources, so there is zero licensing dependency to start.</w:t>
      </w:r>
    </w:p>
    <w:p>
      <w:pPr>
        <w:pStyle w:val="Heading2"/>
        <w:spacing w:after="120" w:before="240"/>
      </w:pPr>
      <w:r>
        <w:t xml:space="preserve">Week 1</w:t>
      </w:r>
    </w:p>
    <w:p>
      <w:pPr>
        <w:pStyle w:val="ListParagraph"/>
        <w:numPr>
          <w:ilvl w:val="0"/>
          <w:numId w:val="1"/>
        </w:numPr>
        <w:spacing w:after="80"/>
      </w:pPr>
      <w:r>
        <w:rPr>
          <w:b/>
          <w:bCs/>
          <w:sz w:val="22"/>
          <w:szCs w:val="22"/>
        </w:rPr>
        <w:t xml:space="preserve">Set up the FastAPI project skeleton with async Postgres connection</w:t>
      </w:r>
    </w:p>
    <w:p>
      <w:pPr>
        <w:pStyle w:val="ListParagraph"/>
        <w:numPr>
          <w:ilvl w:val="0"/>
          <w:numId w:val="1"/>
        </w:numPr>
        <w:spacing w:after="80"/>
      </w:pPr>
      <w:r>
        <w:rPr>
          <w:b w:val="false"/>
          <w:bCs w:val="false"/>
          <w:sz w:val="22"/>
          <w:szCs w:val="22"/>
        </w:rPr>
        <w:t xml:space="preserve">Implement the HMRC ingestor and successfully pull one full manual (e.g. VAT Input Tax)</w:t>
      </w:r>
    </w:p>
    <w:p>
      <w:pPr>
        <w:pStyle w:val="ListParagraph"/>
        <w:numPr>
          <w:ilvl w:val="0"/>
          <w:numId w:val="1"/>
        </w:numPr>
        <w:spacing w:after="80"/>
      </w:pPr>
      <w:r>
        <w:rPr>
          <w:b w:val="false"/>
          <w:bCs w:val="false"/>
          <w:sz w:val="22"/>
          <w:szCs w:val="22"/>
        </w:rPr>
        <w:t xml:space="preserve">Implement the IRS ingestor and successfully pull two publications</w:t>
      </w:r>
    </w:p>
    <w:p>
      <w:pPr>
        <w:pStyle w:val="ListParagraph"/>
        <w:numPr>
          <w:ilvl w:val="0"/>
          <w:numId w:val="1"/>
        </w:numPr>
        <w:spacing w:after="80"/>
      </w:pPr>
      <w:r>
        <w:rPr>
          <w:b w:val="false"/>
          <w:bCs w:val="false"/>
          <w:sz w:val="22"/>
          <w:szCs w:val="22"/>
        </w:rPr>
        <w:t xml:space="preserve">Confirm chunking output looks reasonable on a sample document</w:t>
      </w:r>
    </w:p>
    <w:p>
      <w:pPr>
        <w:pStyle w:val="Heading2"/>
        <w:spacing w:after="120" w:before="240"/>
      </w:pPr>
      <w:r>
        <w:t xml:space="preserve">Week 2</w:t>
      </w:r>
    </w:p>
    <w:p>
      <w:pPr>
        <w:pStyle w:val="ListParagraph"/>
        <w:numPr>
          <w:ilvl w:val="0"/>
          <w:numId w:val="1"/>
        </w:numPr>
        <w:spacing w:after="80"/>
      </w:pPr>
      <w:r>
        <w:rPr>
          <w:b/>
          <w:bCs/>
          <w:sz w:val="22"/>
          <w:szCs w:val="22"/>
        </w:rPr>
        <w:t xml:space="preserve">Build the retrieval endpoint: given a question, return top-matching chunks</w:t>
      </w:r>
    </w:p>
    <w:p>
      <w:pPr>
        <w:pStyle w:val="ListParagraph"/>
        <w:numPr>
          <w:ilvl w:val="0"/>
          <w:numId w:val="1"/>
        </w:numPr>
        <w:spacing w:after="80"/>
      </w:pPr>
      <w:r>
        <w:rPr>
          <w:b w:val="false"/>
          <w:bCs w:val="false"/>
          <w:sz w:val="22"/>
          <w:szCs w:val="22"/>
        </w:rPr>
        <w:t xml:space="preserve">Wire a single LLM call constrained to only use retrieved chunks</w:t>
      </w:r>
    </w:p>
    <w:p>
      <w:pPr>
        <w:pStyle w:val="ListParagraph"/>
        <w:numPr>
          <w:ilvl w:val="0"/>
          <w:numId w:val="1"/>
        </w:numPr>
        <w:spacing w:after="80"/>
      </w:pPr>
      <w:r>
        <w:rPr>
          <w:b w:val="false"/>
          <w:bCs w:val="false"/>
          <w:sz w:val="22"/>
          <w:szCs w:val="22"/>
        </w:rPr>
        <w:t xml:space="preserve">Add a basic citation field to the response</w:t>
      </w:r>
    </w:p>
    <w:p>
      <w:pPr>
        <w:pStyle w:val="ListParagraph"/>
        <w:numPr>
          <w:ilvl w:val="0"/>
          <w:numId w:val="1"/>
        </w:numPr>
        <w:spacing w:after="80"/>
      </w:pPr>
      <w:r>
        <w:rPr>
          <w:b w:val="false"/>
          <w:bCs w:val="false"/>
          <w:sz w:val="22"/>
          <w:szCs w:val="22"/>
        </w:rPr>
        <w:t xml:space="preserve">Manually test 10 sample questions and record accuracy informally</w:t>
      </w:r>
    </w:p>
    <w:p>
      <w:pPr>
        <w:spacing w:after="160"/>
      </w:pPr>
      <w:r>
        <w:rPr>
          <w:sz w:val="22"/>
          <w:szCs w:val="22"/>
        </w:rPr>
        <w:t xml:space="preserve">By the end of week 2 you should be able to demo: a question in, a cited answer out, sourced from real HMRC or IRS content. That demo is the single most convincing artifact you can show stakeholders.</w:t>
      </w:r>
    </w:p>
    <w:p>
      <w:pPr>
        <w:pStyle w:val="Heading1"/>
        <w:spacing w:after="160" w:before="360"/>
      </w:pPr>
      <w:r>
        <w:t xml:space="preserve">Key risks and mitigations</w:t>
      </w:r>
    </w:p>
    <w:tbl>
      <w:tblPr>
        <w:tblW w:type="dxa" w:w="10800"/>
        <w:tblBorders>
          <w:top w:val="single" w:color="D3D1C7" w:sz="2"/>
          <w:left w:val="single" w:color="D3D1C7" w:sz="2"/>
          <w:bottom w:val="single" w:color="D3D1C7" w:sz="2"/>
          <w:right w:val="single" w:color="D3D1C7" w:sz="2"/>
          <w:insideH w:val="single" w:color="D3D1C7" w:sz="2"/>
          <w:insideV w:val="single" w:color="D3D1C7" w:sz="2"/>
        </w:tblBorders>
      </w:tblPr>
      <w:tblGrid>
        <w:gridCol w:w="4600"/>
        <w:gridCol w:w="6200"/>
      </w:tblGrid>
      <w:tr>
        <w:trPr>
          <w:tblHeader/>
        </w:trPr>
        <w:tc>
          <w:tcPr>
            <w:tcW w:type="dxa" w:w="4600"/>
            <w:shd w:fill="1E2761" w:val="clear"/>
            <w:tcMar>
              <w:top w:type="dxa" w:w="100"/>
              <w:left w:type="dxa" w:w="120"/>
              <w:bottom w:type="dxa" w:w="100"/>
              <w:right w:type="dxa" w:w="120"/>
            </w:tcMar>
          </w:tcPr>
          <w:p>
            <w:r>
              <w:rPr>
                <w:b/>
                <w:bCs/>
                <w:color w:val="FFFFFF"/>
                <w:sz w:val="20"/>
                <w:szCs w:val="20"/>
              </w:rPr>
              <w:t xml:space="preserve">Risk</w:t>
            </w:r>
          </w:p>
        </w:tc>
        <w:tc>
          <w:tcPr>
            <w:tcW w:type="dxa" w:w="6200"/>
            <w:shd w:fill="1E2761" w:val="clear"/>
            <w:tcMar>
              <w:top w:type="dxa" w:w="100"/>
              <w:left w:type="dxa" w:w="120"/>
              <w:bottom w:type="dxa" w:w="100"/>
              <w:right w:type="dxa" w:w="120"/>
            </w:tcMar>
          </w:tcPr>
          <w:p>
            <w:r>
              <w:rPr>
                <w:b/>
                <w:bCs/>
                <w:color w:val="FFFFFF"/>
                <w:sz w:val="20"/>
                <w:szCs w:val="20"/>
              </w:rPr>
              <w:t xml:space="preserve">Mitigation</w:t>
            </w:r>
          </w:p>
        </w:tc>
      </w:tr>
      <w:tr>
        <w:tc>
          <w:tcPr>
            <w:tcW w:type="dxa" w:w="4600"/>
            <w:tcMar>
              <w:top w:type="dxa" w:w="100"/>
              <w:left w:type="dxa" w:w="120"/>
              <w:bottom w:type="dxa" w:w="100"/>
              <w:right w:type="dxa" w:w="120"/>
            </w:tcMar>
          </w:tcPr>
          <w:p>
            <w:r>
              <w:rPr>
                <w:sz w:val="20"/>
                <w:szCs w:val="20"/>
              </w:rPr>
              <w:t xml:space="preserve">Trying to cover too many jurisdictions before the pipeline is proven</w:t>
            </w:r>
          </w:p>
        </w:tc>
        <w:tc>
          <w:tcPr>
            <w:tcW w:type="dxa" w:w="6200"/>
            <w:tcMar>
              <w:top w:type="dxa" w:w="100"/>
              <w:left w:type="dxa" w:w="120"/>
              <w:bottom w:type="dxa" w:w="100"/>
              <w:right w:type="dxa" w:w="120"/>
            </w:tcMar>
          </w:tcPr>
          <w:p>
            <w:r>
              <w:rPr>
                <w:sz w:val="20"/>
                <w:szCs w:val="20"/>
              </w:rPr>
              <w:t xml:space="preserve">Phase 0 to 4 deliberately restricted to UK and US free sources only</w:t>
            </w:r>
          </w:p>
        </w:tc>
      </w:tr>
      <w:tr>
        <w:tc>
          <w:tcPr>
            <w:tcW w:type="dxa" w:w="4600"/>
            <w:tcMar>
              <w:top w:type="dxa" w:w="100"/>
              <w:left w:type="dxa" w:w="120"/>
              <w:bottom w:type="dxa" w:w="100"/>
              <w:right w:type="dxa" w:w="120"/>
            </w:tcMar>
          </w:tcPr>
          <w:p>
            <w:r>
              <w:rPr>
                <w:sz w:val="20"/>
                <w:szCs w:val="20"/>
              </w:rPr>
              <w:t xml:space="preserve">Licensed content (FASB, ICAEW, AICPA) blocks progress</w:t>
            </w:r>
          </w:p>
        </w:tc>
        <w:tc>
          <w:tcPr>
            <w:tcW w:type="dxa" w:w="6200"/>
            <w:tcMar>
              <w:top w:type="dxa" w:w="100"/>
              <w:left w:type="dxa" w:w="120"/>
              <w:bottom w:type="dxa" w:w="100"/>
              <w:right w:type="dxa" w:w="120"/>
            </w:tcMar>
          </w:tcPr>
          <w:p>
            <w:r>
              <w:rPr>
                <w:sz w:val="20"/>
                <w:szCs w:val="20"/>
              </w:rPr>
              <w:t xml:space="preserve">Treated as Phase 5, explicitly decoupled from earlier phases</w:t>
            </w:r>
          </w:p>
        </w:tc>
      </w:tr>
      <w:tr>
        <w:tc>
          <w:tcPr>
            <w:tcW w:type="dxa" w:w="4600"/>
            <w:tcMar>
              <w:top w:type="dxa" w:w="100"/>
              <w:left w:type="dxa" w:w="120"/>
              <w:bottom w:type="dxa" w:w="100"/>
              <w:right w:type="dxa" w:w="120"/>
            </w:tcMar>
          </w:tcPr>
          <w:p>
            <w:r>
              <w:rPr>
                <w:sz w:val="20"/>
                <w:szCs w:val="20"/>
              </w:rPr>
              <w:t xml:space="preserve">Admin console scope creep before core pipeline works</w:t>
            </w:r>
          </w:p>
        </w:tc>
        <w:tc>
          <w:tcPr>
            <w:tcW w:type="dxa" w:w="6200"/>
            <w:tcMar>
              <w:top w:type="dxa" w:w="100"/>
              <w:left w:type="dxa" w:w="120"/>
              <w:bottom w:type="dxa" w:w="100"/>
              <w:right w:type="dxa" w:w="120"/>
            </w:tcMar>
          </w:tcPr>
          <w:p>
            <w:r>
              <w:rPr>
                <w:sz w:val="20"/>
                <w:szCs w:val="20"/>
              </w:rPr>
              <w:t xml:space="preserve">Phase 2 sequenced after Phase 1, not before</w:t>
            </w:r>
          </w:p>
        </w:tc>
      </w:tr>
      <w:tr>
        <w:tc>
          <w:tcPr>
            <w:tcW w:type="dxa" w:w="4600"/>
            <w:tcMar>
              <w:top w:type="dxa" w:w="100"/>
              <w:left w:type="dxa" w:w="120"/>
              <w:bottom w:type="dxa" w:w="100"/>
              <w:right w:type="dxa" w:w="120"/>
            </w:tcMar>
          </w:tcPr>
          <w:p>
            <w:r>
              <w:rPr>
                <w:sz w:val="20"/>
                <w:szCs w:val="20"/>
              </w:rPr>
              <w:t xml:space="preserve">No repeatable way to know if answer quality is improving or regressing</w:t>
            </w:r>
          </w:p>
        </w:tc>
        <w:tc>
          <w:tcPr>
            <w:tcW w:type="dxa" w:w="6200"/>
            <w:tcMar>
              <w:top w:type="dxa" w:w="100"/>
              <w:left w:type="dxa" w:w="120"/>
              <w:bottom w:type="dxa" w:w="100"/>
              <w:right w:type="dxa" w:w="120"/>
            </w:tcMar>
          </w:tcPr>
          <w:p>
            <w:r>
              <w:rPr>
                <w:sz w:val="20"/>
                <w:szCs w:val="20"/>
              </w:rPr>
              <w:t xml:space="preserve">Phase 4 introduces a versioned benchmark before wider rollout</w:t>
            </w:r>
          </w:p>
        </w:tc>
      </w:tr>
      <w:tr>
        <w:tc>
          <w:tcPr>
            <w:tcW w:type="dxa" w:w="4600"/>
            <w:tcMar>
              <w:top w:type="dxa" w:w="100"/>
              <w:left w:type="dxa" w:w="120"/>
              <w:bottom w:type="dxa" w:w="100"/>
              <w:right w:type="dxa" w:w="120"/>
            </w:tcMar>
          </w:tcPr>
          <w:p>
            <w:r>
              <w:rPr>
                <w:sz w:val="20"/>
                <w:szCs w:val="20"/>
              </w:rPr>
              <w:t xml:space="preserve">SEC or other API rate limits blocking ingestion</w:t>
            </w:r>
          </w:p>
        </w:tc>
        <w:tc>
          <w:tcPr>
            <w:tcW w:type="dxa" w:w="6200"/>
            <w:tcMar>
              <w:top w:type="dxa" w:w="100"/>
              <w:left w:type="dxa" w:w="120"/>
              <w:bottom w:type="dxa" w:w="100"/>
              <w:right w:type="dxa" w:w="120"/>
            </w:tcMar>
          </w:tcPr>
          <w:p>
            <w:r>
              <w:rPr>
                <w:sz w:val="20"/>
                <w:szCs w:val="20"/>
              </w:rPr>
              <w:t xml:space="preserve">User-Agent header and request delay already built into the ingestion skeleton</w:t>
            </w:r>
          </w:p>
        </w:tc>
      </w:tr>
    </w:tbl>
    <w:p>
      <w:pPr>
        <w:pStyle w:val="Heading1"/>
        <w:spacing w:after="160" w:before="360"/>
      </w:pPr>
      <w:r>
        <w:t xml:space="preserve">Appendix: specification document reference map</w:t>
      </w:r>
    </w:p>
    <w:tbl>
      <w:tblPr>
        <w:tblW w:type="dxa" w:w="10800"/>
        <w:tblBorders>
          <w:top w:val="single" w:color="D3D1C7" w:sz="2"/>
          <w:left w:val="single" w:color="D3D1C7" w:sz="2"/>
          <w:bottom w:val="single" w:color="D3D1C7" w:sz="2"/>
          <w:right w:val="single" w:color="D3D1C7" w:sz="2"/>
          <w:insideH w:val="single" w:color="D3D1C7" w:sz="2"/>
          <w:insideV w:val="single" w:color="D3D1C7" w:sz="2"/>
        </w:tblBorders>
      </w:tblPr>
      <w:tblGrid>
        <w:gridCol w:w="2400"/>
        <w:gridCol w:w="8400"/>
      </w:tblGrid>
      <w:tr>
        <w:trPr>
          <w:tblHeader/>
        </w:trPr>
        <w:tc>
          <w:tcPr>
            <w:tcW w:type="dxa" w:w="2400"/>
            <w:shd w:fill="1E2761" w:val="clear"/>
            <w:tcMar>
              <w:top w:type="dxa" w:w="100"/>
              <w:left w:type="dxa" w:w="120"/>
              <w:bottom w:type="dxa" w:w="100"/>
              <w:right w:type="dxa" w:w="120"/>
            </w:tcMar>
          </w:tcPr>
          <w:p>
            <w:r>
              <w:rPr>
                <w:b/>
                <w:bCs/>
                <w:color w:val="FFFFFF"/>
                <w:sz w:val="20"/>
                <w:szCs w:val="20"/>
              </w:rPr>
              <w:t xml:space="preserve">Document ID</w:t>
            </w:r>
          </w:p>
        </w:tc>
        <w:tc>
          <w:tcPr>
            <w:tcW w:type="dxa" w:w="8400"/>
            <w:shd w:fill="1E2761" w:val="clear"/>
            <w:tcMar>
              <w:top w:type="dxa" w:w="100"/>
              <w:left w:type="dxa" w:w="120"/>
              <w:bottom w:type="dxa" w:w="100"/>
              <w:right w:type="dxa" w:w="120"/>
            </w:tcMar>
          </w:tcPr>
          <w:p>
            <w:r>
              <w:rPr>
                <w:b/>
                <w:bCs/>
                <w:color w:val="FFFFFF"/>
                <w:sz w:val="20"/>
                <w:szCs w:val="20"/>
              </w:rPr>
              <w:t xml:space="preserve">Document name</w:t>
            </w:r>
          </w:p>
        </w:tc>
      </w:tr>
      <w:tr>
        <w:tc>
          <w:tcPr>
            <w:tcW w:type="dxa" w:w="2400"/>
            <w:tcMar>
              <w:top w:type="dxa" w:w="100"/>
              <w:left w:type="dxa" w:w="120"/>
              <w:bottom w:type="dxa" w:w="100"/>
              <w:right w:type="dxa" w:w="120"/>
            </w:tcMar>
          </w:tcPr>
          <w:p>
            <w:r>
              <w:rPr>
                <w:sz w:val="20"/>
                <w:szCs w:val="20"/>
              </w:rPr>
              <w:t xml:space="preserve">ZL-OV-01</w:t>
            </w:r>
          </w:p>
        </w:tc>
        <w:tc>
          <w:tcPr>
            <w:tcW w:type="dxa" w:w="8400"/>
            <w:tcMar>
              <w:top w:type="dxa" w:w="100"/>
              <w:left w:type="dxa" w:w="120"/>
              <w:bottom w:type="dxa" w:w="100"/>
              <w:right w:type="dxa" w:w="120"/>
            </w:tcMar>
          </w:tcPr>
          <w:p>
            <w:r>
              <w:rPr>
                <w:sz w:val="20"/>
                <w:szCs w:val="20"/>
              </w:rPr>
              <w:t xml:space="preserve">Master Architecture and Build Doctrine</w:t>
            </w:r>
          </w:p>
        </w:tc>
      </w:tr>
      <w:tr>
        <w:tc>
          <w:tcPr>
            <w:tcW w:type="dxa" w:w="2400"/>
            <w:tcMar>
              <w:top w:type="dxa" w:w="100"/>
              <w:left w:type="dxa" w:w="120"/>
              <w:bottom w:type="dxa" w:w="100"/>
              <w:right w:type="dxa" w:w="120"/>
            </w:tcMar>
          </w:tcPr>
          <w:p>
            <w:r>
              <w:rPr>
                <w:sz w:val="20"/>
                <w:szCs w:val="20"/>
              </w:rPr>
              <w:t xml:space="preserve">ZL-T1-01</w:t>
            </w:r>
          </w:p>
        </w:tc>
        <w:tc>
          <w:tcPr>
            <w:tcW w:type="dxa" w:w="8400"/>
            <w:tcMar>
              <w:top w:type="dxa" w:w="100"/>
              <w:left w:type="dxa" w:w="120"/>
              <w:bottom w:type="dxa" w:w="100"/>
              <w:right w:type="dxa" w:w="120"/>
            </w:tcMar>
          </w:tcPr>
          <w:p>
            <w:r>
              <w:rPr>
                <w:sz w:val="20"/>
                <w:szCs w:val="20"/>
              </w:rPr>
              <w:t xml:space="preserve">Product Requirements Document</w:t>
            </w:r>
          </w:p>
        </w:tc>
      </w:tr>
      <w:tr>
        <w:tc>
          <w:tcPr>
            <w:tcW w:type="dxa" w:w="2400"/>
            <w:tcMar>
              <w:top w:type="dxa" w:w="100"/>
              <w:left w:type="dxa" w:w="120"/>
              <w:bottom w:type="dxa" w:w="100"/>
              <w:right w:type="dxa" w:w="120"/>
            </w:tcMar>
          </w:tcPr>
          <w:p>
            <w:r>
              <w:rPr>
                <w:sz w:val="20"/>
                <w:szCs w:val="20"/>
              </w:rPr>
              <w:t xml:space="preserve">ZL-T1-02</w:t>
            </w:r>
          </w:p>
        </w:tc>
        <w:tc>
          <w:tcPr>
            <w:tcW w:type="dxa" w:w="8400"/>
            <w:tcMar>
              <w:top w:type="dxa" w:w="100"/>
              <w:left w:type="dxa" w:w="120"/>
              <w:bottom w:type="dxa" w:w="100"/>
              <w:right w:type="dxa" w:w="120"/>
            </w:tcMar>
          </w:tcPr>
          <w:p>
            <w:r>
              <w:rPr>
                <w:sz w:val="20"/>
                <w:szCs w:val="20"/>
              </w:rPr>
              <w:t xml:space="preserve">Technical Product Requirements and Engineering Wireframe</w:t>
            </w:r>
          </w:p>
        </w:tc>
      </w:tr>
      <w:tr>
        <w:tc>
          <w:tcPr>
            <w:tcW w:type="dxa" w:w="2400"/>
            <w:tcMar>
              <w:top w:type="dxa" w:w="100"/>
              <w:left w:type="dxa" w:w="120"/>
              <w:bottom w:type="dxa" w:w="100"/>
              <w:right w:type="dxa" w:w="120"/>
            </w:tcMar>
          </w:tcPr>
          <w:p>
            <w:r>
              <w:rPr>
                <w:sz w:val="20"/>
                <w:szCs w:val="20"/>
              </w:rPr>
              <w:t xml:space="preserve">ZL-T2-01</w:t>
            </w:r>
          </w:p>
        </w:tc>
        <w:tc>
          <w:tcPr>
            <w:tcW w:type="dxa" w:w="8400"/>
            <w:tcMar>
              <w:top w:type="dxa" w:w="100"/>
              <w:left w:type="dxa" w:w="120"/>
              <w:bottom w:type="dxa" w:w="100"/>
              <w:right w:type="dxa" w:w="120"/>
            </w:tcMar>
          </w:tcPr>
          <w:p>
            <w:r>
              <w:rPr>
                <w:sz w:val="20"/>
                <w:szCs w:val="20"/>
              </w:rPr>
              <w:t xml:space="preserve">Front-End Architecture and UX Wireframe</w:t>
            </w:r>
          </w:p>
        </w:tc>
      </w:tr>
      <w:tr>
        <w:tc>
          <w:tcPr>
            <w:tcW w:type="dxa" w:w="2400"/>
            <w:tcMar>
              <w:top w:type="dxa" w:w="100"/>
              <w:left w:type="dxa" w:w="120"/>
              <w:bottom w:type="dxa" w:w="100"/>
              <w:right w:type="dxa" w:w="120"/>
            </w:tcMar>
          </w:tcPr>
          <w:p>
            <w:r>
              <w:rPr>
                <w:sz w:val="20"/>
                <w:szCs w:val="20"/>
              </w:rPr>
              <w:t xml:space="preserve">ZL-T0-05</w:t>
            </w:r>
          </w:p>
        </w:tc>
        <w:tc>
          <w:tcPr>
            <w:tcW w:type="dxa" w:w="8400"/>
            <w:tcMar>
              <w:top w:type="dxa" w:w="100"/>
              <w:left w:type="dxa" w:w="120"/>
              <w:bottom w:type="dxa" w:w="100"/>
              <w:right w:type="dxa" w:w="120"/>
            </w:tcMar>
          </w:tcPr>
          <w:p>
            <w:r>
              <w:rPr>
                <w:sz w:val="20"/>
                <w:szCs w:val="20"/>
              </w:rPr>
              <w:t xml:space="preserve">Back-End Architecture Specification</w:t>
            </w:r>
          </w:p>
        </w:tc>
      </w:tr>
      <w:tr>
        <w:tc>
          <w:tcPr>
            <w:tcW w:type="dxa" w:w="2400"/>
            <w:tcMar>
              <w:top w:type="dxa" w:w="100"/>
              <w:left w:type="dxa" w:w="120"/>
              <w:bottom w:type="dxa" w:w="100"/>
              <w:right w:type="dxa" w:w="120"/>
            </w:tcMar>
          </w:tcPr>
          <w:p>
            <w:r>
              <w:rPr>
                <w:sz w:val="20"/>
                <w:szCs w:val="20"/>
              </w:rPr>
              <w:t xml:space="preserve">ZL-T2-04</w:t>
            </w:r>
          </w:p>
        </w:tc>
        <w:tc>
          <w:tcPr>
            <w:tcW w:type="dxa" w:w="8400"/>
            <w:tcMar>
              <w:top w:type="dxa" w:w="100"/>
              <w:left w:type="dxa" w:w="120"/>
              <w:bottom w:type="dxa" w:w="100"/>
              <w:right w:type="dxa" w:w="120"/>
            </w:tcMar>
          </w:tcPr>
          <w:p>
            <w:r>
              <w:rPr>
                <w:sz w:val="20"/>
                <w:szCs w:val="20"/>
              </w:rPr>
              <w:t xml:space="preserve">ZoikoSuite Embedded Kriton UX Specification</w:t>
            </w:r>
          </w:p>
        </w:tc>
      </w:tr>
      <w:tr>
        <w:tc>
          <w:tcPr>
            <w:tcW w:type="dxa" w:w="2400"/>
            <w:tcMar>
              <w:top w:type="dxa" w:w="100"/>
              <w:left w:type="dxa" w:w="120"/>
              <w:bottom w:type="dxa" w:w="100"/>
              <w:right w:type="dxa" w:w="120"/>
            </w:tcMar>
          </w:tcPr>
          <w:p>
            <w:r>
              <w:rPr>
                <w:sz w:val="20"/>
                <w:szCs w:val="20"/>
              </w:rPr>
              <w:t xml:space="preserve">ZL-T0-04</w:t>
            </w:r>
          </w:p>
        </w:tc>
        <w:tc>
          <w:tcPr>
            <w:tcW w:type="dxa" w:w="8400"/>
            <w:tcMar>
              <w:top w:type="dxa" w:w="100"/>
              <w:left w:type="dxa" w:w="120"/>
              <w:bottom w:type="dxa" w:w="100"/>
              <w:right w:type="dxa" w:w="120"/>
            </w:tcMar>
          </w:tcPr>
          <w:p>
            <w:r>
              <w:rPr>
                <w:sz w:val="20"/>
                <w:szCs w:val="20"/>
              </w:rPr>
              <w:t xml:space="preserve">AI Safety, Risk Classification and Escalation</w:t>
            </w:r>
          </w:p>
        </w:tc>
      </w:tr>
      <w:tr>
        <w:tc>
          <w:tcPr>
            <w:tcW w:type="dxa" w:w="2400"/>
            <w:tcMar>
              <w:top w:type="dxa" w:w="100"/>
              <w:left w:type="dxa" w:w="120"/>
              <w:bottom w:type="dxa" w:w="100"/>
              <w:right w:type="dxa" w:w="120"/>
            </w:tcMar>
          </w:tcPr>
          <w:p>
            <w:r>
              <w:rPr>
                <w:sz w:val="20"/>
                <w:szCs w:val="20"/>
              </w:rPr>
              <w:t xml:space="preserve">ZL-T0-13</w:t>
            </w:r>
          </w:p>
        </w:tc>
        <w:tc>
          <w:tcPr>
            <w:tcW w:type="dxa" w:w="8400"/>
            <w:tcMar>
              <w:top w:type="dxa" w:w="100"/>
              <w:left w:type="dxa" w:w="120"/>
              <w:bottom w:type="dxa" w:w="100"/>
              <w:right w:type="dxa" w:w="120"/>
            </w:tcMar>
          </w:tcPr>
          <w:p>
            <w:r>
              <w:rPr>
                <w:sz w:val="20"/>
                <w:szCs w:val="20"/>
              </w:rPr>
              <w:t xml:space="preserve">Event Catalog</w:t>
            </w:r>
          </w:p>
        </w:tc>
      </w:tr>
      <w:tr>
        <w:tc>
          <w:tcPr>
            <w:tcW w:type="dxa" w:w="2400"/>
            <w:tcMar>
              <w:top w:type="dxa" w:w="100"/>
              <w:left w:type="dxa" w:w="120"/>
              <w:bottom w:type="dxa" w:w="100"/>
              <w:right w:type="dxa" w:w="120"/>
            </w:tcMar>
          </w:tcPr>
          <w:p>
            <w:r>
              <w:rPr>
                <w:sz w:val="20"/>
                <w:szCs w:val="20"/>
              </w:rPr>
              <w:t xml:space="preserve">ZL-T0-02</w:t>
            </w:r>
          </w:p>
        </w:tc>
        <w:tc>
          <w:tcPr>
            <w:tcW w:type="dxa" w:w="8400"/>
            <w:tcMar>
              <w:top w:type="dxa" w:w="100"/>
              <w:left w:type="dxa" w:w="120"/>
              <w:bottom w:type="dxa" w:w="100"/>
              <w:right w:type="dxa" w:w="120"/>
            </w:tcMar>
          </w:tcPr>
          <w:p>
            <w:r>
              <w:rPr>
                <w:sz w:val="20"/>
                <w:szCs w:val="20"/>
              </w:rPr>
              <w:t xml:space="preserve">Knowledge Graph and Accounting Ontology</w:t>
            </w:r>
          </w:p>
        </w:tc>
      </w:tr>
      <w:tr>
        <w:tc>
          <w:tcPr>
            <w:tcW w:type="dxa" w:w="2400"/>
            <w:tcMar>
              <w:top w:type="dxa" w:w="100"/>
              <w:left w:type="dxa" w:w="120"/>
              <w:bottom w:type="dxa" w:w="100"/>
              <w:right w:type="dxa" w:w="120"/>
            </w:tcMar>
          </w:tcPr>
          <w:p>
            <w:r>
              <w:rPr>
                <w:sz w:val="20"/>
                <w:szCs w:val="20"/>
              </w:rPr>
              <w:t xml:space="preserve">ZL-T0-10</w:t>
            </w:r>
          </w:p>
        </w:tc>
        <w:tc>
          <w:tcPr>
            <w:tcW w:type="dxa" w:w="8400"/>
            <w:tcMar>
              <w:top w:type="dxa" w:w="100"/>
              <w:left w:type="dxa" w:w="120"/>
              <w:bottom w:type="dxa" w:w="100"/>
              <w:right w:type="dxa" w:w="120"/>
            </w:tcMar>
          </w:tcPr>
          <w:p>
            <w:r>
              <w:rPr>
                <w:sz w:val="20"/>
                <w:szCs w:val="20"/>
              </w:rPr>
              <w:t xml:space="preserve">LLM Evaluation and Benchmarking</w:t>
            </w:r>
          </w:p>
        </w:tc>
      </w:tr>
      <w:tr>
        <w:tc>
          <w:tcPr>
            <w:tcW w:type="dxa" w:w="2400"/>
            <w:tcMar>
              <w:top w:type="dxa" w:w="100"/>
              <w:left w:type="dxa" w:w="120"/>
              <w:bottom w:type="dxa" w:w="100"/>
              <w:right w:type="dxa" w:w="120"/>
            </w:tcMar>
          </w:tcPr>
          <w:p>
            <w:r>
              <w:rPr>
                <w:sz w:val="20"/>
                <w:szCs w:val="20"/>
              </w:rPr>
              <w:t xml:space="preserve">ZL-T0-06</w:t>
            </w:r>
          </w:p>
        </w:tc>
        <w:tc>
          <w:tcPr>
            <w:tcW w:type="dxa" w:w="8400"/>
            <w:tcMar>
              <w:top w:type="dxa" w:w="100"/>
              <w:left w:type="dxa" w:w="120"/>
              <w:bottom w:type="dxa" w:w="100"/>
              <w:right w:type="dxa" w:w="120"/>
            </w:tcMar>
          </w:tcPr>
          <w:p>
            <w:r>
              <w:rPr>
                <w:sz w:val="20"/>
                <w:szCs w:val="20"/>
              </w:rPr>
              <w:t xml:space="preserve">LLM System Architecture and Model Strategy</w:t>
            </w:r>
          </w:p>
        </w:tc>
      </w:tr>
      <w:tr>
        <w:tc>
          <w:tcPr>
            <w:tcW w:type="dxa" w:w="2400"/>
            <w:tcMar>
              <w:top w:type="dxa" w:w="100"/>
              <w:left w:type="dxa" w:w="120"/>
              <w:bottom w:type="dxa" w:w="100"/>
              <w:right w:type="dxa" w:w="120"/>
            </w:tcMar>
          </w:tcPr>
          <w:p>
            <w:r>
              <w:rPr>
                <w:sz w:val="20"/>
                <w:szCs w:val="20"/>
              </w:rPr>
              <w:t xml:space="preserve">MRP</w:t>
            </w:r>
          </w:p>
        </w:tc>
        <w:tc>
          <w:tcPr>
            <w:tcW w:type="dxa" w:w="8400"/>
            <w:tcMar>
              <w:top w:type="dxa" w:w="100"/>
              <w:left w:type="dxa" w:w="120"/>
              <w:bottom w:type="dxa" w:w="100"/>
              <w:right w:type="dxa" w:w="120"/>
            </w:tcMar>
          </w:tcPr>
          <w:p>
            <w:r>
              <w:rPr>
                <w:sz w:val="20"/>
                <w:szCs w:val="20"/>
              </w:rPr>
              <w:t xml:space="preserve">Master Register Patch</w:t>
            </w:r>
          </w:p>
        </w:tc>
      </w:tr>
      <w:tr>
        <w:tc>
          <w:tcPr>
            <w:tcW w:type="dxa" w:w="2400"/>
            <w:tcMar>
              <w:top w:type="dxa" w:w="100"/>
              <w:left w:type="dxa" w:w="120"/>
              <w:bottom w:type="dxa" w:w="100"/>
              <w:right w:type="dxa" w:w="120"/>
            </w:tcMar>
          </w:tcPr>
          <w:p>
            <w:r>
              <w:rPr>
                <w:sz w:val="20"/>
                <w:szCs w:val="20"/>
              </w:rPr>
              <w:t xml:space="preserve">ZL-T0-09</w:t>
            </w:r>
          </w:p>
        </w:tc>
        <w:tc>
          <w:tcPr>
            <w:tcW w:type="dxa" w:w="8400"/>
            <w:tcMar>
              <w:top w:type="dxa" w:w="100"/>
              <w:left w:type="dxa" w:w="120"/>
              <w:bottom w:type="dxa" w:w="100"/>
              <w:right w:type="dxa" w:w="120"/>
            </w:tcMar>
          </w:tcPr>
          <w:p>
            <w:r>
              <w:rPr>
                <w:sz w:val="20"/>
                <w:szCs w:val="20"/>
              </w:rPr>
              <w:t xml:space="preserve">Privacy, Security and Data Protection</w:t>
            </w:r>
          </w:p>
        </w:tc>
      </w:tr>
      <w:tr>
        <w:tc>
          <w:tcPr>
            <w:tcW w:type="dxa" w:w="2400"/>
            <w:tcMar>
              <w:top w:type="dxa" w:w="100"/>
              <w:left w:type="dxa" w:w="120"/>
              <w:bottom w:type="dxa" w:w="100"/>
              <w:right w:type="dxa" w:w="120"/>
            </w:tcMar>
          </w:tcPr>
          <w:p>
            <w:r>
              <w:rPr>
                <w:sz w:val="20"/>
                <w:szCs w:val="20"/>
              </w:rPr>
              <w:t xml:space="preserve">ZL-T0-12</w:t>
            </w:r>
          </w:p>
        </w:tc>
        <w:tc>
          <w:tcPr>
            <w:tcW w:type="dxa" w:w="8400"/>
            <w:tcMar>
              <w:top w:type="dxa" w:w="100"/>
              <w:left w:type="dxa" w:w="120"/>
              <w:bottom w:type="dxa" w:w="100"/>
              <w:right w:type="dxa" w:w="120"/>
            </w:tcMar>
          </w:tcPr>
          <w:p>
            <w:r>
              <w:rPr>
                <w:sz w:val="20"/>
                <w:szCs w:val="20"/>
              </w:rPr>
              <w:t xml:space="preserve">Provider Due Diligence Register</w:t>
            </w:r>
          </w:p>
        </w:tc>
      </w:tr>
      <w:tr>
        <w:tc>
          <w:tcPr>
            <w:tcW w:type="dxa" w:w="2400"/>
            <w:tcMar>
              <w:top w:type="dxa" w:w="100"/>
              <w:left w:type="dxa" w:w="120"/>
              <w:bottom w:type="dxa" w:w="100"/>
              <w:right w:type="dxa" w:w="120"/>
            </w:tcMar>
          </w:tcPr>
          <w:p>
            <w:r>
              <w:rPr>
                <w:sz w:val="20"/>
                <w:szCs w:val="20"/>
              </w:rPr>
              <w:t xml:space="preserve">ZL-T0-11</w:t>
            </w:r>
          </w:p>
        </w:tc>
        <w:tc>
          <w:tcPr>
            <w:tcW w:type="dxa" w:w="8400"/>
            <w:tcMar>
              <w:top w:type="dxa" w:w="100"/>
              <w:left w:type="dxa" w:w="120"/>
              <w:bottom w:type="dxa" w:w="100"/>
              <w:right w:type="dxa" w:w="120"/>
            </w:tcMar>
          </w:tcPr>
          <w:p>
            <w:r>
              <w:rPr>
                <w:sz w:val="20"/>
                <w:szCs w:val="20"/>
              </w:rPr>
              <w:t xml:space="preserve">QA Test Plan and Release Gate</w:t>
            </w:r>
          </w:p>
        </w:tc>
      </w:tr>
      <w:tr>
        <w:tc>
          <w:tcPr>
            <w:tcW w:type="dxa" w:w="2400"/>
            <w:tcMar>
              <w:top w:type="dxa" w:w="100"/>
              <w:left w:type="dxa" w:w="120"/>
              <w:bottom w:type="dxa" w:w="100"/>
              <w:right w:type="dxa" w:w="120"/>
            </w:tcMar>
          </w:tcPr>
          <w:p>
            <w:r>
              <w:rPr>
                <w:sz w:val="20"/>
                <w:szCs w:val="20"/>
              </w:rPr>
              <w:t xml:space="preserve">ZL-T0-03</w:t>
            </w:r>
          </w:p>
        </w:tc>
        <w:tc>
          <w:tcPr>
            <w:tcW w:type="dxa" w:w="8400"/>
            <w:tcMar>
              <w:top w:type="dxa" w:w="100"/>
              <w:left w:type="dxa" w:w="120"/>
              <w:bottom w:type="dxa" w:w="100"/>
              <w:right w:type="dxa" w:w="120"/>
            </w:tcMar>
          </w:tcPr>
          <w:p>
            <w:r>
              <w:rPr>
                <w:sz w:val="20"/>
                <w:szCs w:val="20"/>
              </w:rPr>
              <w:t xml:space="preserve">Retrieval-Augmented Generation Specification</w:t>
            </w:r>
          </w:p>
        </w:tc>
      </w:tr>
      <w:tr>
        <w:tc>
          <w:tcPr>
            <w:tcW w:type="dxa" w:w="2400"/>
            <w:tcMar>
              <w:top w:type="dxa" w:w="100"/>
              <w:left w:type="dxa" w:w="120"/>
              <w:bottom w:type="dxa" w:w="100"/>
              <w:right w:type="dxa" w:w="120"/>
            </w:tcMar>
          </w:tcPr>
          <w:p>
            <w:r>
              <w:rPr>
                <w:sz w:val="20"/>
                <w:szCs w:val="20"/>
              </w:rPr>
              <w:t xml:space="preserve">ZL-T1-08</w:t>
            </w:r>
          </w:p>
        </w:tc>
        <w:tc>
          <w:tcPr>
            <w:tcW w:type="dxa" w:w="8400"/>
            <w:tcMar>
              <w:top w:type="dxa" w:w="100"/>
              <w:left w:type="dxa" w:w="120"/>
              <w:bottom w:type="dxa" w:w="100"/>
              <w:right w:type="dxa" w:w="120"/>
            </w:tcMar>
          </w:tcPr>
          <w:p>
            <w:r>
              <w:rPr>
                <w:sz w:val="20"/>
                <w:szCs w:val="20"/>
              </w:rPr>
              <w:t xml:space="preserve">Learning, Practice and CPD Workspace</w:t>
            </w:r>
          </w:p>
        </w:tc>
      </w:tr>
      <w:tr>
        <w:tc>
          <w:tcPr>
            <w:tcW w:type="dxa" w:w="2400"/>
            <w:tcMar>
              <w:top w:type="dxa" w:w="100"/>
              <w:left w:type="dxa" w:w="120"/>
              <w:bottom w:type="dxa" w:w="100"/>
              <w:right w:type="dxa" w:w="120"/>
            </w:tcMar>
          </w:tcPr>
          <w:p>
            <w:r>
              <w:rPr>
                <w:sz w:val="20"/>
                <w:szCs w:val="20"/>
              </w:rPr>
              <w:t xml:space="preserve">ZL-T1-09</w:t>
            </w:r>
          </w:p>
        </w:tc>
        <w:tc>
          <w:tcPr>
            <w:tcW w:type="dxa" w:w="8400"/>
            <w:tcMar>
              <w:top w:type="dxa" w:w="100"/>
              <w:left w:type="dxa" w:w="120"/>
              <w:bottom w:type="dxa" w:w="100"/>
              <w:right w:type="dxa" w:w="120"/>
            </w:tcMar>
          </w:tcPr>
          <w:p>
            <w:r>
              <w:rPr>
                <w:sz w:val="20"/>
                <w:szCs w:val="20"/>
              </w:rPr>
              <w:t xml:space="preserve">Review, Escalation and Audit Workspace</w:t>
            </w:r>
          </w:p>
        </w:tc>
      </w:tr>
      <w:tr>
        <w:tc>
          <w:tcPr>
            <w:tcW w:type="dxa" w:w="2400"/>
            <w:tcMar>
              <w:top w:type="dxa" w:w="100"/>
              <w:left w:type="dxa" w:w="120"/>
              <w:bottom w:type="dxa" w:w="100"/>
              <w:right w:type="dxa" w:w="120"/>
            </w:tcMar>
          </w:tcPr>
          <w:p>
            <w:r>
              <w:rPr>
                <w:sz w:val="20"/>
                <w:szCs w:val="20"/>
              </w:rPr>
              <w:t xml:space="preserve">ZL-T2-05</w:t>
            </w:r>
          </w:p>
        </w:tc>
        <w:tc>
          <w:tcPr>
            <w:tcW w:type="dxa" w:w="8400"/>
            <w:tcMar>
              <w:top w:type="dxa" w:w="100"/>
              <w:left w:type="dxa" w:w="120"/>
              <w:bottom w:type="dxa" w:w="100"/>
              <w:right w:type="dxa" w:w="120"/>
            </w:tcMar>
          </w:tcPr>
          <w:p>
            <w:r>
              <w:rPr>
                <w:sz w:val="20"/>
                <w:szCs w:val="20"/>
              </w:rPr>
              <w:t xml:space="preserve">Admin Governance Console and Operations</w:t>
            </w:r>
          </w:p>
        </w:tc>
      </w:tr>
      <w:tr>
        <w:tc>
          <w:tcPr>
            <w:tcW w:type="dxa" w:w="2400"/>
            <w:tcMar>
              <w:top w:type="dxa" w:w="100"/>
              <w:left w:type="dxa" w:w="120"/>
              <w:bottom w:type="dxa" w:w="100"/>
              <w:right w:type="dxa" w:w="120"/>
            </w:tcMar>
          </w:tcPr>
          <w:p>
            <w:r>
              <w:rPr>
                <w:sz w:val="20"/>
                <w:szCs w:val="20"/>
              </w:rPr>
              <w:t xml:space="preserve">ZL-T0-01</w:t>
            </w:r>
          </w:p>
        </w:tc>
        <w:tc>
          <w:tcPr>
            <w:tcW w:type="dxa" w:w="8400"/>
            <w:tcMar>
              <w:top w:type="dxa" w:w="100"/>
              <w:left w:type="dxa" w:w="120"/>
              <w:bottom w:type="dxa" w:w="100"/>
              <w:right w:type="dxa" w:w="120"/>
            </w:tcMar>
          </w:tcPr>
          <w:p>
            <w:r>
              <w:rPr>
                <w:sz w:val="20"/>
                <w:szCs w:val="20"/>
              </w:rPr>
              <w:t xml:space="preserve">Authoritative Source Library and Licensing Register</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2026-07-03T06:19:54.358Z</dcterms:created>
  <dcterms:modified xsi:type="dcterms:W3CDTF">2026-07-03T06:19:54.359Z</dcterms:modified>
</cp:coreProperties>
</file>

<file path=docProps/custom.xml><?xml version="1.0" encoding="utf-8"?>
<Properties xmlns="http://schemas.openxmlformats.org/officeDocument/2006/custom-properties" xmlns:vt="http://schemas.openxmlformats.org/officeDocument/2006/docPropsVTypes"/>
</file>