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56"/>
          <w:sz-cs w:val="56"/>
          <w:b/>
          <w:spacing w:val="0"/>
          <w:color w:val="0F4C67"/>
        </w:rPr>
        <w:t xml:space="preserve">Kriton™ Governed RAG Implementation Plan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4F5E5B"/>
        </w:rPr>
        <w:t xml:space="preserve">ZoikoLogia AI Safety &amp; Governance Platform · 13 July 2026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Recommended product direction: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build and own the source governance, retrieval, safety routing, citation verification, evaluation and audit platform. Use approved OpenAI, Anthropic or open-weight models as replaceable generation providers. Do not train a foundation LLM from scratch during the initial product stages.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1. Target Architecture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Document upload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source registration and approval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parsing and normalization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section-aware chunking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embeddings and pgvector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licence/tenant/jurisdiction filtering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hybrid retrieval and reranking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deterministic safety route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approved LLM generation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claim-level citation validation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audit ledger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streamed frontend response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2. Guiding Principles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Policy before model: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the deterministic policy engine decides whether generation may run.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No source, no answer: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the model must not answer from general knowledge when eligible evidence is absent.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Tenant isolation by design: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tenant boundaries must be enforced in the database and vector query.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Citations are data: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citations must bind claims to canonical source chunks, not rely on free-text markers alone.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Audit before response: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the durable audit record must be written before an answer is exposed.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b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Provider independence: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OpenAI, Claude and self-hosted models must share one governed adapter contract.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0 — Stabilize the Current Foundation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2–3 days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Work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Update outdated READMEs to describe Next.js 16 and the implemented FastAPI services.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Document ENABLE_RAG_EMBEDDINGS, ENABLE_ML_CLASSIFIER, provider selection and model configuration.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Apply required disclaimers before answer validation, or split pre- and post-disclaimer checks explicitly.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Prevent generation when no eligible, grounded chunks are available.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Replace silent broad exception handling with structured events containing correlation IDs.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Add database, vector store, embedding, reranker and provider health checks.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Introduce Alembic migrations instead of relying on startup ALTER TABLE operations.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Acceptance: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medium-risk answers validate correctly; no model call occurs with empty evidence; retrieval failures are traceable; setup documentation matches runtime behaviour.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1 — Canonical Source and Document Model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4–6 days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Source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└── SourceVersion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     └── Document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          └── DocumentChunk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               └── Embedding / index record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Document fields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B19"/>
        </w:rPr>
        <w:t xml:space="preserve">id, tenant_id, source_id, source_version_id, filename, object_storage_key, MIME type, checksum, parser/version, ingestion status, failure reason and timestamps.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Chunk fields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B19"/>
        </w:rPr>
        <w:t xml:space="preserve">id, document_id, source_id, source_version_id, tenant_id, page/section, chunk index, text hash, token count, jurisdiction, framework, authority, licence, effective dates and index version.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Upload flow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Save and scan the file.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Create a governed Source and SourceVersion.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Create a Document with UPLOADED status.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Parse, chunk and embed it.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Store vectors with canonical SQL source IDs.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Set the document to READY only after successful indexing.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Require approval before shared sources become retrievable.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Acceptance: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every vector chunk maps to a real SQL source; disabling a source removes it from retrieval; normal uploads no longer fail the licence gate with source_record_not_found.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2 — Reliable Background Ingestion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4–6 days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Move parsing and embedding into background jobs.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Use UPLOADED → PARSING → CHUNKING → EMBEDDING → INDEXING → READY/FAILED states.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Store production files in object storage.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Append to existing local indexes instead of recreating them.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Make ingestion idempotent using file checksum and index version.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Support retries and re-indexing when parser, chunker or embedding versions change.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Preserve headings, page numbers, spreadsheet cells and table structure.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B19"/>
        </w:rPr>
        <w:t xml:space="preserve">Begin with 500–800 token chunks, 10–15% overlap and heading-aware boundaries. Tune using evaluation results.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Acceptance: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uploads return quickly with a job ID; duplicate documents do not duplicate chunks; multiple uploads remain searchable; failed jobs are retryable.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3 — Governed Hybrid Retrieval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5–7 days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Question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normalize and rewrite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identify jurisdiction/framework/topic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prefilter eligible documents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BM25 + vector search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merge and deduplicate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cross-encoder rerank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confidence calculation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→ immutable SourceBundle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Mandatory prefilters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Tenant ID and visibility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Approval and source-version status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Licence and display permission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Jurisdiction and accounting framework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Effective date, freshness and authority level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Retrieval method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PostgreSQL full-text/BM25 retrieval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BGE-M3 semantic retrieval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Reciprocal Rank Fusion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BGE reranker over the top 20–30 candidates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Final selection of 5–10 non-duplicative chunks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B19"/>
        </w:rPr>
        <w:t xml:space="preserve">Confidence must use retrieval scores, independent source count, authority, freshness, jurisdiction match, framework match, contradictions and query coverage—not source count alone.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Acceptance: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restricted or cross-tenant content never enters prompts; exact-jurisdiction primary sources rank first; weak evidence leads to clarification or review.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4 — Real Model Gateway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4–6 days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Provider contract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ProviderAdapter.generate(GenerationRequest) → GenerationResult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B19"/>
        </w:rPr>
        <w:t xml:space="preserve">The request includes governed instructions, grounded context, query, structured schema, output limit, timeout, tenant policy and correlation ID. The result includes structured content, provider/model, usage, latency, finish reason and provider request ID.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Implement asynchronous OpenAI and Anthropic adapters.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Keep Groq or a self-hosted adapter as an optional approved route.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Restrict the mock adapter to tests and local demonstrations.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Route by tenant policy, risk, data residency, evaluation status, cost, latency and context requirements.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Add timeouts, safe retries, circuit breakers, provider fallback and version pinning.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Record token usage and cost without logging raw private prompts by default.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Acceptance: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production never selects mock; every model is registry-approved; provider failure safely falls back or refuses; only grounded context reaches generation.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5 — Structured Answers and Verified Citations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5–7 days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"summary": "...",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"claims": [{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  "text": "...",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  "citations": [{"chunk_id": "...", "source_id": "...", "page": 14}]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}],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"limitations": [],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  "follow_up_questions": []</w:t>
      </w:r>
    </w:p>
    <w:p>
      <w:pPr/>
      <w:r>
        <w:rPr>
          <w:rFonts w:ascii="Menlo" w:hAnsi="Menlo" w:cs="Menlo"/>
          <w:sz w:val="24"/>
          <w:sz-cs w:val="24"/>
          <w:spacing w:val="0"/>
          <w:color w:val="121B19"/>
        </w:rPr>
        <w:t xml:space="preserve">}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Validation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Confirm each citation exists in the final SourceBundle.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Confirm the cited chunk is display-eligible.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Verify that the passage supports the claim.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Enforce source authority, jurisdiction and effective dates.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Reject professional advice or certification language.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Attach and verify mandatory disclaimers.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Remove, refuse or escalate unsupported claims.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Acceptance: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all material claims are cited; citations open exact pages/sections; fabricated references fail validation; restricted content cannot leak.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6 — Conversation and Streaming UX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5–8 days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Add Conversation, Turn, Message, Attachment, RetrievalRun, GenerationRun and Feedback entities.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Rewrite follow-up questions into standalone retrieval queries.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Maintain recent turns plus a verified compact summary instead of unbounded history.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Stream progress states: policy check, retrieval, licence validation, composition and citation verification.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Add stop/regenerate, clickable citations, source preview, feedback and follow-up suggestions.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Support project/source scope selection and clarification within one query lifecycle.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Acceptance: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conversations survive reload; follow-ups retrieve correctly; streaming never exposes unvalidated final content; users can inspect refusal and escalation reasons.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7 — Evaluation and Release Gates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5–7 days initially, then continuous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Datasets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B19"/>
        </w:rPr>
        <w:t xml:space="preserve">IFRS, UK GAAP, US GAAP, tax, audit, payroll, professional boundaries, academic integrity, injection attacks, cross-tenant attacks, stale standards and conflicting guidance.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D3C38"/>
        </w:rPr>
        <w:t xml:space="preserve">Metrics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Retrieval recall@5/@10, MRR, jurisdiction match and authority precision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Citation precision/completeness, claim entailment and unsupported-claim rate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Professional-boundary violations and over-refusal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PII, secret, cross-tenant and restricted-source leakage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P50/P95 latency, provider reliability and cost per answer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Release must be blocked for any cross-tenant, PII or secret leakage; critical citation regressions; policy bypasses; or a candidate model performing worse than the active approved model.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Phase 8 — Authentication and Production Readiness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121B19"/>
        </w:rPr>
        <w:t xml:space="preserve">Estimated effort:</w:t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 4–6 days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Implement signup fully or remove the incomplete signup promise.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Use server-issued HttpOnly, Secure, SameSite cookies.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Validate sessions rather than checking cookie existence only.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Add email verification, password reset and complete RBAC/ABAC controls.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Add malware scanning, retention/deletion jobs and upload limits.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Use managed secrets, backups, recovery procedures, metrics and alerts.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3. Suggested Delivery Schedule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Sprint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  <w:spacing w:val="0"/>
          <w:color w:val="FFFFFF"/>
        </w:rPr>
        <w:t xml:space="preserve">Primary deliverable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1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Stability fixes and canonical source/document schema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2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Background ingestion and reliable vector indexing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3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Governed hybrid retrieval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4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OpenAI and Claude model gateway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5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Structured claims and citation verification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6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Streaming conversation experience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7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Evaluation gates and security testing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8</w:t>
      </w:r>
    </w:p>
    <w:p>
      <w:pPr/>
      <w:r>
        <w:rPr>
          <w:rFonts w:ascii="Arial" w:hAnsi="Arial" w:cs="Arial"/>
          <w:sz w:val="24"/>
          <w:sz-cs w:val="24"/>
          <w:spacing w:val="0"/>
          <w:color w:val="121B19"/>
        </w:rPr>
        <w:t xml:space="preserve">Authentication and production hardening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4. First Production Slice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An administrator uploads one authoritative PDF.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 governed Source and SourceVersion are created.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The document is parsed, chunked and indexed with canonical IDs.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 user asks a question.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Tenant, licence, jurisdiction, framework and freshness filters execute.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Relevant chunks are retrieved and reranked.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An approved OpenAI or Claude model generates a structured answer.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Every material claim is validated against exact source chunks.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The user receives an answer with clickable citations.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The complete decision and evidence trace is written to the audit ledger.</w:t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0F4C67"/>
        </w:rPr>
        <w:t xml:space="preserve">5. Definition of Done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No cross-tenant or restricted-source retrieval is possible.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No answer is generated without eligible evidence.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Every factual claim maps to an exact, display-eligible source passage.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Risk classification deterministically controls generation, refusal, clarification or review.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Every provider call, retrieval result, validation outcome and response is auditable.</w:t>
      </w:r>
    </w:p>
    <w:p>
      <w:pPr>
        <w:ind w:left="720" w:first-line="-720"/>
        <w:spacing w:after="80"/>
      </w:pPr>
      <w:r>
        <w:rPr>
          <w:rFonts w:ascii="Arial" w:hAnsi="Arial" w:cs="Arial"/>
          <w:sz w:val="24"/>
          <w:sz-cs w:val="24"/>
          <w:color w:val="121B1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121B19"/>
        </w:rPr>
        <w:t xml:space="preserve">Provider models can be changed without replacing the governance or RAG platform.</w:t>
      </w:r>
    </w:p>
    <w:p>
      <w:pPr>
        <w:spacing w:after="200"/>
      </w:pPr>
      <w:r>
        <w:rPr>
          <w:rFonts w:ascii="Arial" w:hAnsi="Arial" w:cs="Arial"/>
          <w:sz w:val="20"/>
          <w:sz-cs w:val="20"/>
          <w:spacing w:val="0"/>
          <w:color w:val="556461"/>
        </w:rPr>
        <w:t xml:space="preserve">Prepared for the ZoikoLogia Kriton™ platform. Internal reasoning-layer naming and implementation details must remain consistent with project visibility rules.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