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114300" distR="114300">
            <wp:extent cx="1920240" cy="761614"/>
            <wp:effectExtent b="0" l="0" r="0" t="0"/>
            <wp:docPr descr="Zoiko Payroll branded logo from approved mock-up" id="1" name="image1.png"/>
            <a:graphic>
              <a:graphicData uri="http://schemas.openxmlformats.org/drawingml/2006/picture">
                <pic:pic>
                  <pic:nvPicPr>
                    <pic:cNvPr descr="Zoiko Payroll branded logo from approved mock-u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6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WEBSITE  /  GLOBAL PAYROLL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AI Chatbot</w:t>
        <w:br w:type="textWrapping"/>
        <w:t xml:space="preserve">Detailed Engineering Wireframe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22"/>
          <w:szCs w:val="22"/>
          <w:u w:val="none"/>
          <w:shd w:fill="auto" w:val="clear"/>
          <w:vertAlign w:val="baseline"/>
          <w:rtl w:val="0"/>
        </w:rPr>
        <w:t xml:space="preserve">Zoiko Payroll  |  Global Payroll AI Concierge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Production-oriented implementation specification for the public-facing assistant, derived from the approved visual mock-up and refined for security, accuracy, accessibility, and conversion.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77.0" w:type="dxa"/>
        <w:jc w:val="center"/>
        <w:tblLayout w:type="fixed"/>
        <w:tblLook w:val="0400"/>
      </w:tblPr>
      <w:tblGrid>
        <w:gridCol w:w="2333"/>
        <w:gridCol w:w="7344"/>
        <w:tblGridChange w:id="0">
          <w:tblGrid>
            <w:gridCol w:w="2333"/>
            <w:gridCol w:w="734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ZP-PUB-AI-UX-001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Version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v1.0  /  09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Front-end, back-end, AI/knowledge, QA, product, security, support,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Engineering handoff — implementation subject to existing service integration and content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7"/>
                <w:szCs w:val="17"/>
                <w:rtl w:val="0"/>
              </w:rPr>
              <w:t xml:space="preserve">Unauthenticated public website chatbot only; no account data or payroll execution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91.0" w:type="dxa"/>
        <w:jc w:val="left"/>
        <w:tblInd w:w="-115.0" w:type="dxa"/>
        <w:tblLayout w:type="fixed"/>
        <w:tblLook w:val="0400"/>
      </w:tblPr>
      <w:tblGrid>
        <w:gridCol w:w="9691"/>
        <w:tblGridChange w:id="0">
          <w:tblGrid>
            <w:gridCol w:w="9691"/>
          </w:tblGrid>
        </w:tblGridChange>
      </w:tblGrid>
      <w:tr>
        <w:trPr>
          <w:cantSplit w:val="0"/>
          <w:tblHeader w:val="1"/>
        </w:trPr>
        <w:tc>
          <w:tcPr>
            <w:shd w:fill="edf5ff" w:val="clear"/>
            <w:tcMar>
              <w:top w:w="125.0" w:type="dxa"/>
              <w:bottom w:w="11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095ebe"/>
                <w:sz w:val="17"/>
                <w:szCs w:val="17"/>
                <w:rtl w:val="0"/>
              </w:rPr>
              <w:t xml:space="preserve">IMPLEMENTATION RULE  </w:t>
            </w:r>
            <w:r w:rsidDel="00000000" w:rsidR="00000000" w:rsidRPr="00000000">
              <w:rPr>
                <w:color w:val="071c46"/>
                <w:sz w:val="17"/>
                <w:szCs w:val="17"/>
                <w:rtl w:val="0"/>
              </w:rPr>
              <w:t xml:space="preserve">The mock-up governs visible layout and labels. This specification governs real behavior, permissible claims, protected data boundaries, and responsive states.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15"/>
          <w:szCs w:val="15"/>
          <w:u w:val="none"/>
          <w:shd w:fill="auto" w:val="clear"/>
          <w:vertAlign w:val="baseline"/>
          <w:rtl w:val="0"/>
        </w:rPr>
        <w:t xml:space="preserve">Prepared against the reference mock-up supplied in the conversation. The document is a build specification, not evidence that an AI service, booking integration, or live human-support channel already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01  Reference composition &amp; design intent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visual establishes a premium, navy/blue/white assistant window: branded header → welcome → six topic cards → searchable country panel → six popular-question chips → three CTAs → chat composer → trust disclosure.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114300" distR="114300">
            <wp:extent cx="4053840" cy="6080760"/>
            <wp:effectExtent b="0" l="0" r="0" t="0"/>
            <wp:docPr descr="Full public chatbot visual reference: header, welcome, six topic tiles, country search, six FAQ shortcuts, three CTAs and composer" id="2" name="image2.png"/>
            <a:graphic>
              <a:graphicData uri="http://schemas.openxmlformats.org/drawingml/2006/picture">
                <pic:pic>
                  <pic:nvPicPr>
                    <pic:cNvPr descr="Full public chatbot visual reference: header, welcome, six topic tiles, country search, six FAQ shortcuts, three CTAs and composer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608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15"/>
          <w:szCs w:val="15"/>
          <w:u w:val="none"/>
          <w:shd w:fill="auto" w:val="clear"/>
          <w:vertAlign w:val="baseline"/>
          <w:rtl w:val="0"/>
        </w:rPr>
        <w:t xml:space="preserve">Figure 1. Reference mock-up. Illustration only: specific UI claims, paperclip functionality, status counts, and action routing must follow the validated rules in this wireframe.</w:t>
      </w:r>
    </w:p>
    <w:tbl>
      <w:tblPr>
        <w:tblStyle w:val="Table3"/>
        <w:tblW w:w="9691.0" w:type="dxa"/>
        <w:jc w:val="left"/>
        <w:tblInd w:w="-115.0" w:type="dxa"/>
        <w:tblLayout w:type="fixed"/>
        <w:tblLook w:val="0400"/>
      </w:tblPr>
      <w:tblGrid>
        <w:gridCol w:w="9691"/>
        <w:tblGridChange w:id="0">
          <w:tblGrid>
            <w:gridCol w:w="9691"/>
          </w:tblGrid>
        </w:tblGridChange>
      </w:tblGrid>
      <w:tr>
        <w:trPr>
          <w:cantSplit w:val="0"/>
          <w:tblHeader w:val="1"/>
        </w:trPr>
        <w:tc>
          <w:tcPr>
            <w:shd w:fill="edf5ff" w:val="clear"/>
            <w:tcMar>
              <w:top w:w="125.0" w:type="dxa"/>
              <w:bottom w:w="115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095ebe"/>
                <w:sz w:val="17"/>
                <w:szCs w:val="17"/>
                <w:rtl w:val="0"/>
              </w:rPr>
              <w:t xml:space="preserve">CRITICAL REVIEW → FINALIZED IMPROVEMENTS  </w:t>
            </w:r>
            <w:r w:rsidDel="00000000" w:rsidR="00000000" w:rsidRPr="00000000">
              <w:rPr>
                <w:color w:val="071c46"/>
                <w:sz w:val="17"/>
                <w:szCs w:val="17"/>
                <w:rtl w:val="0"/>
              </w:rPr>
              <w:t xml:space="preserve">Preserve all six categories, all six question prompts and all three CTAs; make country count data-driven; replace simulated online presence with service health; remove public attachments; add source-backed answers, authenticated redirects, true escalation, and mobile/accessibility states.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02  Product boundaries and success criteria</w:t>
      </w:r>
    </w:p>
    <w:tbl>
      <w:tblPr>
        <w:tblStyle w:val="Table4"/>
        <w:tblW w:w="9677.0" w:type="dxa"/>
        <w:jc w:val="center"/>
        <w:tblLayout w:type="fixed"/>
        <w:tblLook w:val="0400"/>
      </w:tblPr>
      <w:tblGrid>
        <w:gridCol w:w="4824"/>
        <w:gridCol w:w="4853"/>
        <w:tblGridChange w:id="0">
          <w:tblGrid>
            <w:gridCol w:w="4824"/>
            <w:gridCol w:w="48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OUT OF SCOPE (PUBLIC)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Product FAQs, explainers, public payroll concepts, approved country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Fetching individual payslips, salaries, tax IDs, employee files or tenant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Country search, verified public jurisdiction metadata, capability-level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Running payroll, uploading documents, changing tax settings, making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Guided topic flows, relevant public links, demos, sales/support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Tax/legal opinions presented as authoritative advice; unverified country 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Anonymous or consented usage analytics; safe AI answers with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Agent access to authenticated applications or internal admin APIs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Primary outcome: visitor receives a useful, verifiable public answer or reaches the correct commercial/support destination. Secondary outcomes: trust, discoverability and qualified demo conversion—not arbitrary chat volume.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03  Desktop wireframe: regions and order</w:t>
      </w:r>
    </w:p>
    <w:tbl>
      <w:tblPr>
        <w:tblStyle w:val="Table5"/>
        <w:tblW w:w="9677.0" w:type="dxa"/>
        <w:jc w:val="center"/>
        <w:tblLayout w:type="fixed"/>
        <w:tblLook w:val="0400"/>
      </w:tblPr>
      <w:tblGrid>
        <w:gridCol w:w="1656"/>
        <w:gridCol w:w="3658"/>
        <w:gridCol w:w="4363"/>
        <w:tblGridChange w:id="0">
          <w:tblGrid>
            <w:gridCol w:w="1656"/>
            <w:gridCol w:w="3658"/>
            <w:gridCol w:w="436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ZONE /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VISIBLE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INTERACTION /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 / Sticky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Zoiko Payroll logo; “Global Payroll AI Concierge”; service status; language selector EN; minimize;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Logo → approved product page. Language menu; minimize collapses to launcher; close dismisses and returns focus to opener.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B /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Assistant icon; “Welcome to Zoiko Payroll!”; short scope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Shown on initial open; compressed to conversation header after the first message if space is constrained.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 / Topic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Six cards; title, short description, category icon, chevron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Opens targeted suggestions or prefills a scoped question; remains accessible from a Topics control during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D / Country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Search a country; “N jurisdictions live” (API-driven); separately approved roadmap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Typeahead with verified ISO country metadata; selected country leads to supported capability/status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E / Popular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Six chips; “View all questions”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One click submits the exact question and shows answer; All opens searchable FAQ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F / Three 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Book a Demo / Talk to Sales / Speak to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Respectively booking, sales qualification, support choice; never simulated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G / Sticky 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Prompt; send; privacy/account help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Text only; Enter to send; locked while submitting; visible errors and retry.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03.1  Exact launch screen copy</w:t>
      </w:r>
    </w:p>
    <w:p w:rsidR="00000000" w:rsidDel="00000000" w:rsidP="00000000" w:rsidRDefault="00000000" w:rsidRPr="00000000" w14:paraId="00000047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095ebe"/>
          <w:sz w:val="15"/>
          <w:szCs w:val="15"/>
          <w:rtl w:val="0"/>
        </w:rPr>
        <w:t xml:space="preserve">WELCOME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Title: “Welcome to Zoiko Payroll!”  Subtitle: “Your intelligent guide to global payroll.”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Body: “Explore payroll solutions, tax compliance, payslips, supported countries, integrations, and pricing. Choose a topic below or ask a question about Zoiko Payroll.”</w:t>
      </w:r>
    </w:p>
    <w:p w:rsidR="00000000" w:rsidDel="00000000" w:rsidP="00000000" w:rsidRDefault="00000000" w:rsidRPr="00000000" w14:paraId="0000004A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095ebe"/>
          <w:sz w:val="15"/>
          <w:szCs w:val="15"/>
          <w:rtl w:val="0"/>
        </w:rPr>
        <w:t xml:space="preserve">HEADER AND COMPOSER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Header: “Global Payroll AI Concierge”  |  Availability label: “AI assistant available” when health is good; “Temporarily unavailable” when not. Composer placeholder: “Ask a question about Zoiko Payroll…”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Near composer: “General information only. For help with your payroll account, sign in securely. Do not enter employee, payment, tax ID or other sensitive data.”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04  Topic cards — six exact items</w:t>
      </w:r>
    </w:p>
    <w:tbl>
      <w:tblPr>
        <w:tblStyle w:val="Table6"/>
        <w:tblW w:w="9677.0" w:type="dxa"/>
        <w:jc w:val="center"/>
        <w:tblLayout w:type="fixed"/>
        <w:tblLook w:val="0400"/>
      </w:tblPr>
      <w:tblGrid>
        <w:gridCol w:w="2390"/>
        <w:gridCol w:w="2909"/>
        <w:gridCol w:w="4378"/>
        <w:tblGridChange w:id="0">
          <w:tblGrid>
            <w:gridCol w:w="2390"/>
            <w:gridCol w:w="2909"/>
            <w:gridCol w:w="437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 /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 IN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ON CLICK / STARTER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TOP-01  Global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Multi-country payroll for growing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Open guided topic. Ask: “Where is Zoiko Payroll available?”; “How does multi-country payroll work?”; “Can I manage several countries?”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TOP-02  Payroll &amp; Payslips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Employee pay, deductions and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Ask: “How do payslips work?”; “What payroll reports are available?”; “How do I access my own payslip?” (sign-in redirect).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TOP-03  Taxes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Local tax rules, filings and regulations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Require jurisdiction before specific rules. Ask: “What payroll taxes apply in [country]?”; “What tax features are available?”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TOP-04  Features &amp;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Platform features and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Answer only verified feature/integration availability. Ask: “Which accounting systems integrate?”; “What are payroll approval workflows?”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TOP-05  Pricing &amp; Demos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Plans, trials and book 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Retrieve approved pricing/plan copy or send verified pricing link. CTA to demo booking, without invented prices or trial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TOP-06  Security &amp;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Data protection, compliance and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Approved security overview, trust/privacy page links, data-handling practices; no unsupported certification or residency claims.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Category interaction contract: pointer, Enter and Space activate; category filter uses stable ID; on activation show topic heading, 2–3 approved suggestions, and a Back to topics control. Do not change routes without user action.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05  Country checker — verified readiness</w:t>
      </w:r>
    </w:p>
    <w:tbl>
      <w:tblPr>
        <w:tblStyle w:val="Table7"/>
        <w:tblW w:w="9691.0" w:type="dxa"/>
        <w:jc w:val="left"/>
        <w:tblInd w:w="-115.0" w:type="dxa"/>
        <w:tblLayout w:type="fixed"/>
        <w:tblLook w:val="0400"/>
      </w:tblPr>
      <w:tblGrid>
        <w:gridCol w:w="9691"/>
        <w:tblGridChange w:id="0">
          <w:tblGrid>
            <w:gridCol w:w="9691"/>
          </w:tblGrid>
        </w:tblGridChange>
      </w:tblGrid>
      <w:tr>
        <w:trPr>
          <w:cantSplit w:val="0"/>
          <w:tblHeader w:val="1"/>
        </w:trPr>
        <w:tc>
          <w:tcPr>
            <w:shd w:fill="edf5ff" w:val="clear"/>
            <w:tcMar>
              <w:top w:w="125.0" w:type="dxa"/>
              <w:bottom w:w="11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095ebe"/>
                <w:sz w:val="17"/>
                <w:szCs w:val="17"/>
                <w:rtl w:val="0"/>
              </w:rPr>
              <w:t xml:space="preserve">SINGLE SOURCE OF TRUTH  </w:t>
            </w:r>
            <w:r w:rsidDel="00000000" w:rsidR="00000000" w:rsidRPr="00000000">
              <w:rPr>
                <w:color w:val="071c46"/>
                <w:sz w:val="17"/>
                <w:szCs w:val="17"/>
                <w:rtl w:val="0"/>
              </w:rPr>
              <w:t xml:space="preserve">Display the number of LIVE countries only from the payroll jurisdiction registry. In the last supplied implementation snapshot, 19 jurisdictions were configured and designated production-ready. Never hardcode “19” or show a flag as evidence that the country is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77.0" w:type="dxa"/>
        <w:jc w:val="center"/>
        <w:tblLayout w:type="fixed"/>
        <w:tblLook w:val="0400"/>
      </w:tblPr>
      <w:tblGrid>
        <w:gridCol w:w="2491"/>
        <w:gridCol w:w="7186"/>
        <w:tblGridChange w:id="0">
          <w:tblGrid>
            <w:gridCol w:w="2491"/>
            <w:gridCol w:w="71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 /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Search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Label “Check your country”; placeholder “Search a country…”; searchable by full name, approved aliases, ISO 3166-1 alpha-2; debounced 250–350 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Country name + code + status chip; keyboard arrows/Enter/Escape; no inferred status from language or visitor 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Registry record marked public_launch_status=live and verified; show “Available”, confirmed capabilities, last verification date and public contact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Only where roadmap is explicitly approved for public display; show “Planned — date not announced” unless a validated public launch date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UNAVAILABLE /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“Not currently listed as available. Talk to Sales to confirm options.” No fake launch dates or “coming soon” defaults.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Country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Show country-specific overview for payroll engine, taxes, filings, employee payments/payslips only where capability fields are verified. Unsupported capabilities clearly marked.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Coverage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GET public countries feed, count unique countries with live status; cache short-lived and invalidate at changes; handle feed errors with “Check country availability” (no count).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200-country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The end-2026 ambition is a roadmap target, NOT a live capability claim; display only if corporate copy separately authorizes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05.1  Baseline registry seed — confirmation required before public deployment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Most recently supplied production-ready jurisdiction list (19) to reconcile with the canonical API, rather than embedding it as front-end truth:</w:t>
      </w:r>
    </w:p>
    <w:tbl>
      <w:tblPr>
        <w:tblStyle w:val="Table9"/>
        <w:tblW w:w="9677.0" w:type="dxa"/>
        <w:jc w:val="center"/>
        <w:tblLayout w:type="fixed"/>
        <w:tblLook w:val="0400"/>
      </w:tblPr>
      <w:tblGrid>
        <w:gridCol w:w="3528"/>
        <w:gridCol w:w="3240"/>
        <w:gridCol w:w="2909"/>
        <w:tblGridChange w:id="0">
          <w:tblGrid>
            <w:gridCol w:w="3528"/>
            <w:gridCol w:w="3240"/>
            <w:gridCol w:w="290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AMERICAS / CARIBBEAN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EUROPE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APAC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United States (US); Canada (CA); Barbados (BB); Bahamas (BS); Cayman Islands (KY); Dominican Republic (DO); Guyana (GY); Jamaica (JM); Puerto Rico (PR); Trinidad and Tobago (TT)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United Kingdom (GB); Germany (DE); France (FR); Ireland (IE); Sweden (SE); Italy (IT)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India (IN); Australia (AU); Singapore (SG)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Data governance: each jurisdiction must include country_code, display_name, launch_status, verified_at, capabilities_by_module, public_source_urls, legal_disclaimer_version, and approved_next_steps. An admin/content approver—not a generative model—changes readiness.</w:t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06  Popular questions — six exact shortcuts</w:t>
      </w:r>
    </w:p>
    <w:tbl>
      <w:tblPr>
        <w:tblStyle w:val="Table10"/>
        <w:tblW w:w="9676.0" w:type="dxa"/>
        <w:jc w:val="center"/>
        <w:tblLayout w:type="fixed"/>
        <w:tblLook w:val="0400"/>
      </w:tblPr>
      <w:tblGrid>
        <w:gridCol w:w="3758"/>
        <w:gridCol w:w="5918"/>
        <w:tblGridChange w:id="0">
          <w:tblGrid>
            <w:gridCol w:w="3758"/>
            <w:gridCol w:w="591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 / CHIP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ACCEPTANCE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Q-01  Which countries do you currently support?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Retrieve live registry; list relevant live countries; link to country picker; avoid unapproved future-market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Q-02  How do I generate a payslip?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Explain general product flow from approved KB; if asking for personal payslip, show Sign in; never produce or access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Q-03  How does Zoiko Payroll handle taxes?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Explain configuration/processing at high level; request country for specifics; cite jurisdiction-scoped, versioned public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Q-04  Can you integrate with my accounting software?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Ask connector name; check published integrations/capability status; unknown connector → sales follow-up, no assumption.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Q-05  What are your pricing plans?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Display only current approved pricing or link to published pricing; if no published plan, explain pricing depends on requirements and link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Q-06  How do I book a demo?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Explain steps briefly and display functional “Book a Demo” CTA; track event without personal chat transcript.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“View all questions” opens searchable public FAQ with categories, synonyms and no need for sign-in; never dump an unlimited list into the chat viewport. Each chip uses a real button role and can be used only once per activation (avoid double-submit).</w:t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07  Commercial and support actions</w:t>
      </w:r>
    </w:p>
    <w:tbl>
      <w:tblPr>
        <w:tblStyle w:val="Table11"/>
        <w:tblW w:w="9677.0" w:type="dxa"/>
        <w:jc w:val="center"/>
        <w:tblLayout w:type="fixed"/>
        <w:tblLook w:val="0400"/>
      </w:tblPr>
      <w:tblGrid>
        <w:gridCol w:w="2232"/>
        <w:gridCol w:w="4464"/>
        <w:gridCol w:w="2981"/>
        <w:tblGridChange w:id="0">
          <w:tblGrid>
            <w:gridCol w:w="2232"/>
            <w:gridCol w:w="4464"/>
            <w:gridCol w:w="29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CTA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FALLBACK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Book a Demo / Primary solid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Open a verified booking URL or first-party booking modal. Capture minimal business details only with notice/consent; integrate actual scheduling and CRM.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If scheduling unavailable show “Request a demo” form; confirmation only after successful backend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Talk to Sales / Secondary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Open short lead flow: business email, company, country, employee range, optional note; optional consent for sales follow-up.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Server-validated submission, unique request ID, confirmation, fallback contact route; never claim instant agent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Speak to Support / Secondary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Show two paths: “I’m a customer — Sign in for account support”; “General website or product question — Contact support”.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Live chat displayed only if a staffed real-time channel is integrated and availability is true; otherwise contact/ticket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Sign in / Contextual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Open authoritative login URL, never embedded credential collection in chatbot.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Respect returnURL allowlist and do not leak chat transcript or PII into login URL.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Actions must have destinations set in server-provided config. If no real route exists, hide or disable the CTA with approved alternative—not a dead control.</w:t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08  Conversation, input and response states</w:t>
      </w:r>
    </w:p>
    <w:tbl>
      <w:tblPr>
        <w:tblStyle w:val="Table12"/>
        <w:tblW w:w="9677.0" w:type="dxa"/>
        <w:jc w:val="center"/>
        <w:tblLayout w:type="fixed"/>
        <w:tblLook w:val="0400"/>
      </w:tblPr>
      <w:tblGrid>
        <w:gridCol w:w="2506"/>
        <w:gridCol w:w="7171"/>
        <w:tblGridChange w:id="0">
          <w:tblGrid>
            <w:gridCol w:w="2506"/>
            <w:gridCol w:w="71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SCREEN BEHAVIOR /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Show all zones A–G. Opening focus lands on chatbot heading or Close based on accessibility design; do not auto-open without user gesture.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Typed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1000 characters maximum by default (server configurable); visible count near limit; trim whitespace; show validation for oversized/pasted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Enter sends; Shift+Enter newline on desktop; click send also works. Empty/whitespace disables. Disable duplicate submit and provide “Sending…” indicator.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User bubble shows instantly; assistant loading indicator; display substantive answer as progressive stream if supported; Cancel request optional.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Verified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Short answer, jurisdiction context if relevant, “Learn more” public source link(s), optional “Last verified” date, suggestions and relevant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Insufficient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“I can’t confirm that from current Zoiko Payroll information.” Offer official content, country lookup or sales. Do not invent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Sensitive content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Prevent submission where feasible; warn users not to enter payroll/salary/bank/identity details; do not repeat sensitive values in AI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Connectivity /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Inline recoverable error, Retry and support link; preserve draft safely in memory only; do not report failed as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Session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Explain “This session has expired. Start a new conversation.”; no silent history retrieval from previous anonymous visits.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Abuse / 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Friendly rate-limit state with retry delay; no technical stack traces or unhandled 500s.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Minimize /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Minimize to branded launcher with accessible label; Close ends panel and returns focus to launcher; session clearing follows approved privacy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095ebe"/>
          <w:sz w:val="15"/>
          <w:szCs w:val="15"/>
          <w:rtl w:val="0"/>
        </w:rPr>
        <w:t xml:space="preserve">PUBLIC UPLOAD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Remove paperclip from the reference mock-up for this public assistant. Attachments belong only in a separately security-reviewed, authenticated support workflow with malware scanning and retention controls.</w:t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09  Responsive visual and accessibility requirements</w:t>
      </w:r>
    </w:p>
    <w:tbl>
      <w:tblPr>
        <w:tblStyle w:val="Table13"/>
        <w:tblW w:w="9677.0" w:type="dxa"/>
        <w:jc w:val="center"/>
        <w:tblLayout w:type="fixed"/>
        <w:tblLook w:val="0400"/>
      </w:tblPr>
      <w:tblGrid>
        <w:gridCol w:w="2376"/>
        <w:gridCol w:w="7301"/>
        <w:tblGridChange w:id="0">
          <w:tblGrid>
            <w:gridCol w:w="2376"/>
            <w:gridCol w:w="73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VIEWPORT /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LAYOUT AND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Desktop ≥ 1024px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Floating panel width 440–520 CSS px, max-height min(780px, 90dvh); right/bottom inset ≥ 20px; scrollable content body and fixed header/composer. Website remains navigable.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Tablet 768–1023px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Panel max-width 480px or 90vw; topics 2 columns; country search stacks if needed; CTAs may wrap; avoid overlaying site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Mobile ≤ 767px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Full-width edge-to-edge or near full-screen drawer, 100dvh with safe-area insets; header remains visible, body scrolls, composer pinned above keyboard. Topics one column or two only when labels stay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Very narrow 320–359px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Topic cards stack one column, long labels wrap, actions stack; prevent horizontal overflow at 200% zoom.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WCAG 2.2 AA; keyboard complete; 4.5:1 body text contrast, 3:1 components; visible focus ring; &gt;=24×24 CSS px targets (aim 44px); aria-live polite for new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Motion /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Respect prefers-reduced-motion; do not rely on color/flags alone; BCP 47 locale; keyboard-accessible searchable combobox; translate source text by approved localization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Focus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On open focus sensible heading/first control; Escape closes dialogs; focus returns to opener; modal focus trapped only when actually modal; announce errors with role=alert.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095ebe"/>
          <w:sz w:val="15"/>
          <w:szCs w:val="15"/>
          <w:rtl w:val="0"/>
        </w:rPr>
        <w:t xml:space="preserve">DESIGN TOKENS — IMPLEMENTATION STARTING VALUES (NOT AN INVENTED BRAND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Navy #071C46; primary blue #095EBE; pale blue #E7F1FD; border #D5E4F4; body text #1C2B42; success teal #0B8F7E. Confirm exact values against Zoiko Payroll design-system tokens. Radius 12–20px; base spacing 8px; shadow subtle; no emoticon dependency.</w:t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10  AI answer and compliance architecture</w:t>
      </w:r>
    </w:p>
    <w:p w:rsidR="00000000" w:rsidDel="00000000" w:rsidP="00000000" w:rsidRDefault="00000000" w:rsidRPr="00000000" w14:paraId="000000D9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095ebe"/>
          <w:sz w:val="15"/>
          <w:szCs w:val="15"/>
          <w:rtl w:val="0"/>
        </w:rPr>
        <w:t xml:space="preserve">DECISION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Visitor text / chip → PII &amp; injection screening → intent detection → jurisdiction/feature context → allowlisted public knowledge retrieval → grounded response composer → policy check → source links / CTA / escalation → analytics event (no raw message content).</w:t>
      </w:r>
    </w:p>
    <w:tbl>
      <w:tblPr>
        <w:tblStyle w:val="Table14"/>
        <w:tblW w:w="9676.0" w:type="dxa"/>
        <w:jc w:val="center"/>
        <w:tblLayout w:type="fixed"/>
        <w:tblLook w:val="0400"/>
      </w:tblPr>
      <w:tblGrid>
        <w:gridCol w:w="2534"/>
        <w:gridCol w:w="7142"/>
        <w:tblGridChange w:id="0">
          <w:tblGrid>
            <w:gridCol w:w="2534"/>
            <w:gridCol w:w="71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ENGINEERING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Public-only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AI can query only a published, access-controlled public KB and public jurisdiction metadata. No tenant DB, payslip API, privileged HR, payment or employee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Source-of-truth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1) live verified product registry for coverage/capability; 2) approved product CMS/KB; 3) approved trust/pricing pages; 4) explicit uncertainty/hand-off. Never use model memory as product inventory.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Grounding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Every feature, legal rate, compliance process, availability and price claim must map to approved content. Attach public link and last_verified where relevant; stale content blocks confident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Tax/compliance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Determine country before country-specific instructions; display effective date, time-sensitivity disclaimer, and referral for professional advice. Do not calculate employer tax liabilities from customer data publicly.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Injection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Treat prompts and retrieved documents as untrusted. Ignore instructions in indexed pages that alter system policy, request secrets or attempt tool execution; constrain output links to approved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Prompt &amp; 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Version system prompt and policy; restrict tools to read-only public sources and lead creation after explicit user intent; stage and regression-test every model/prompt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High-risk HR/tax/legal specifics, unclear jurisdictions, disputed claims, unsupported integrations or explicit human requests route to appropriate help; present uncertainty transparently.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Human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No “Online human” or agent acceptance indicator unless actual support channel telemetry confirms staffing/availability.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11  Proposed integration contracts (adapt to existing stack)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These are reference contracts, not declarations that endpoints exist. Finalize routes with the platform API owner; all public calls must use least privilege, quotas and structured error envelopes.</w:t>
      </w:r>
    </w:p>
    <w:tbl>
      <w:tblPr>
        <w:tblStyle w:val="Table15"/>
        <w:tblW w:w="9677.0" w:type="dxa"/>
        <w:jc w:val="center"/>
        <w:tblLayout w:type="fixed"/>
        <w:tblLook w:val="0400"/>
      </w:tblPr>
      <w:tblGrid>
        <w:gridCol w:w="2794"/>
        <w:gridCol w:w="4723"/>
        <w:gridCol w:w="2160"/>
        <w:tblGridChange w:id="0">
          <w:tblGrid>
            <w:gridCol w:w="2794"/>
            <w:gridCol w:w="4723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ENDPOINT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REQUEST → RESPONSE (MINIMUM)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GET /public/assistant/config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locale → branding, 6 topics, 6 chip texts, CTA URLs/features, policy version, health; ETag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CMS-managed; no secret keys; same-origin/CORS allowlist.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GET /public/payroll-countries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search, locale → [{code, name, launch_status, capabilities, verified_at, source_url}], live_count,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Country registry authoritative; ISO codes unique; status semantics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POST /public/assistant/sessions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locale, consent state → opaque session_id, expires_at, policy_version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Pseudonymous ephemeral sessions; no authenticated token or tenant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POST /public/assistant/messages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session_id, message, country_code?, topic_id?, request_id → answer, citations, suggested_actions, policy_flags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PII guard, schema validation, idempotency, anti-abuse, read-only public KB.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POST /public/assistant/leads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intent, consent metadata, validated contact fields → lead_id, accepted_at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Only after explicit CTA/submit; no passive transfer of full chat transcripts.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GET /public/assistant/health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→ available / degraded /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Header reflects true service availability; cache and fail closed.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11.1  Response shape — illustrative</w:t>
      </w:r>
    </w:p>
    <w:tbl>
      <w:tblPr>
        <w:tblStyle w:val="Table16"/>
        <w:tblW w:w="9691.0" w:type="dxa"/>
        <w:jc w:val="left"/>
        <w:tblInd w:w="-115.0" w:type="dxa"/>
        <w:tblLayout w:type="fixed"/>
        <w:tblLook w:val="0400"/>
      </w:tblPr>
      <w:tblGrid>
        <w:gridCol w:w="9691"/>
        <w:tblGridChange w:id="0">
          <w:tblGrid>
            <w:gridCol w:w="9691"/>
          </w:tblGrid>
        </w:tblGridChange>
      </w:tblGrid>
      <w:tr>
        <w:trPr>
          <w:cantSplit w:val="0"/>
          <w:tblHeader w:val="1"/>
        </w:trPr>
        <w:tc>
          <w:tcPr>
            <w:shd w:fill="edf5ff" w:val="clear"/>
            <w:tcMar>
              <w:top w:w="125.0" w:type="dxa"/>
              <w:bottom w:w="11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095ebe"/>
                <w:sz w:val="17"/>
                <w:szCs w:val="17"/>
                <w:rtl w:val="0"/>
              </w:rPr>
              <w:t xml:space="preserve">TYPED PAYLOAD  </w:t>
            </w:r>
            <w:r w:rsidDel="00000000" w:rsidR="00000000" w:rsidRPr="00000000">
              <w:rPr>
                <w:color w:val="071c46"/>
                <w:sz w:val="17"/>
                <w:szCs w:val="17"/>
                <w:rtl w:val="0"/>
              </w:rPr>
              <w:t xml:space="preserve">answer: { text, evidence: [{title, approved_url, verified_at}], jurisdiction_code?, confidence_state: verified|limited|unavailable, suggestions: [{id,label}], actions: [{id,label,route_key}] }. Never expose hidden prompts, internal URLs, embeddings or system details.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12  Security, privacy, operations and observability</w:t>
      </w:r>
    </w:p>
    <w:tbl>
      <w:tblPr>
        <w:tblStyle w:val="Table17"/>
        <w:tblW w:w="9677.0" w:type="dxa"/>
        <w:jc w:val="center"/>
        <w:tblLayout w:type="fixed"/>
        <w:tblLook w:val="0400"/>
      </w:tblPr>
      <w:tblGrid>
        <w:gridCol w:w="2434"/>
        <w:gridCol w:w="7243"/>
        <w:tblGridChange w:id="0">
          <w:tblGrid>
            <w:gridCol w:w="2434"/>
            <w:gridCol w:w="72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MUST-HAVE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Authentication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Public assistant must never exchange or reuse signed-in access tokens. Account help is a deep link to approved login/support surfaces.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Sensitive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Client-side warning plus server-side classification/redaction of payment/bank, government IDs, salary/employee rosters and credentials; no storing content in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Transport &amp;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TLS, CSP, strict output escaping, CSRF protection as applicable, origin checks, session replay protection, anti-bot controls, dependency scanning.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Retention /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Finalize locale-specific notice, processing basis, third-party processors, retention schedules, DPA and deletion requests before release. Prefer no long-lived anonymous transcripts.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Events: widget_opened, topic_selected, country_checked, question_sent, answer_verified, fallback_shown, demo_clicked, lead_submitted, support_requested; no raw query or personal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Operational SLO (proposed)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Target ≥99.9% monthly assistant endpoint availability; p95 first visible response ≤3s, completion ≤12s in baseline network; measure and revise after load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Log errors with correlation ID, model/content version, anonymized intent/country codes and latency; alert on unsupported-claim rate, source failures, lead-delivery failure, spikes in 429/5xx.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Content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Named product owner approves product copy; jurisdiction/legal reviewer approves country claims; security approves trust copy; all entries versioned with review-by dates and rollback.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13  End-to-end acceptance tests / QA handoff</w:t>
      </w:r>
    </w:p>
    <w:tbl>
      <w:tblPr>
        <w:tblStyle w:val="Table18"/>
        <w:tblW w:w="9677.0" w:type="dxa"/>
        <w:jc w:val="center"/>
        <w:tblLayout w:type="fixed"/>
        <w:tblLook w:val="0400"/>
      </w:tblPr>
      <w:tblGrid>
        <w:gridCol w:w="2592"/>
        <w:gridCol w:w="7085"/>
        <w:tblGridChange w:id="0">
          <w:tblGrid>
            <w:gridCol w:w="2592"/>
            <w:gridCol w:w="70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A01  Launch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Exactly 6 correct topic cards, 6 chips, 3 CTAs, country search, header, greeting and composer are present in initial desktop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A02  Topic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Each card produces only its appropriate guided prompts; topic reset/back preserves safe navigation and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A03  Current 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Every LIVE option and counter match authoritative API; changes propagate; no frontend hardcoded 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A04  Unknown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Country absent from approved live list does not receive “Available” or unapproved future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A05  Feature 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Live country without confirmed tax filing/payment capability does not imply either capability is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A06  Payslip/account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User requesting own payslip is redirected to sign-in; no private data returned in public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A07 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Unpublished pricing/connector never generates invented amounts or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A08  Country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Specific tax question requires jurisdiction and credible current sources or safe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A09  Sales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Click and submission reach real endpoint; confirmation only after confirmed success; retry handles failed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A10 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Support choices work and do not promise live agents where none are connected.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A11  PII/prompt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Sensitive identifier, bank/employee data and malicious prompt attempt rejected/redacted; no leak into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A12  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Public UI contains no attachment affordance or file drop/paste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A13  Async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Timeout, offline, 429, 5xx, expired session, failed KB and health degradation all show accessible recoverable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A14  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Tab order, Enter/Space, Esc, arrow navigation, focus return and SR announcements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A15 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No clipping at 320px, 200% zoom or soft keyboard, and composer remains 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A16  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EN copy complete, locale selection works for approved languages, country names localized without changing country codes.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A17  Link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Only allowlisted outbound destinations; no open redirect, raw HTML, token leakage or unsafe target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A18  Evidence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5"/>
                <w:szCs w:val="15"/>
                <w:rtl w:val="0"/>
              </w:rPr>
              <w:t xml:space="preserve">Expired/unapproved KB entries cannot be surfaced as current authoritative claims; link and verified date render when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  <w:t xml:space="preserve">14  Release gates and ownership</w:t>
      </w:r>
    </w:p>
    <w:tbl>
      <w:tblPr>
        <w:tblStyle w:val="Table19"/>
        <w:tblW w:w="9676.0" w:type="dxa"/>
        <w:jc w:val="center"/>
        <w:tblLayout w:type="fixed"/>
        <w:tblLook w:val="0400"/>
      </w:tblPr>
      <w:tblGrid>
        <w:gridCol w:w="2678"/>
        <w:gridCol w:w="6998"/>
        <w:tblGridChange w:id="0">
          <w:tblGrid>
            <w:gridCol w:w="2678"/>
            <w:gridCol w:w="699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092b61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EVIDENCE REQUIRED /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Product &amp; visual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Product/Design approves copy, card order, country interaction, CTA hierarchy, branded breakpoints and actual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Country/compliance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Payroll content owner signs off 19-current snapshot against API and each country capability; Legal reviews tax disclaimers and roadmap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AI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AI/Backend demonstrates verified-source-only responses, PII suppression, prompt-injection resistance and off-scope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Security &amp;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Security/privacy sign off public-only access boundary, consent, data retention, rate limits, CSP, incident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QA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Automated integration/e2e suite plus manual WCAG 2.2 AA audit passes all A01–A18; no open critical/high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Go-live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af3" w:space="0" w:sz="4" w:val="single"/>
              <w:left w:color="e2eaf3" w:space="0" w:sz="4" w:val="single"/>
              <w:bottom w:color="e2eaf3" w:space="0" w:sz="4" w:val="single"/>
              <w:right w:color="e2eaf3" w:space="0" w:sz="4" w:val="single"/>
            </w:tcBorders>
            <w:shd w:fill="f4f8fd" w:val="clear"/>
            <w:tcMar>
              <w:top w:w="9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64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color w:val="1c2b42"/>
                <w:sz w:val="16"/>
                <w:szCs w:val="16"/>
                <w:rtl w:val="0"/>
              </w:rPr>
              <w:t xml:space="preserve">Production health checks, dashboards, rollback for content and model, error/lead alerting, staged release and named on-call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14.1  Implementation sequence (one release)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1. Design-system component shell → 2. approved static CMS copy, six categories and six prompts → 3. authoritative country lookup → 4. public KB/AI and policy gateway → 5. booking/sales/support connections → 6. privacy, logging, accessibility and test suite → 7. canary and launch sign-off.</w:t>
      </w:r>
    </w:p>
    <w:tbl>
      <w:tblPr>
        <w:tblStyle w:val="Table20"/>
        <w:tblW w:w="9691.0" w:type="dxa"/>
        <w:jc w:val="left"/>
        <w:tblInd w:w="-115.0" w:type="dxa"/>
        <w:tblLayout w:type="fixed"/>
        <w:tblLook w:val="0400"/>
      </w:tblPr>
      <w:tblGrid>
        <w:gridCol w:w="9691"/>
        <w:tblGridChange w:id="0">
          <w:tblGrid>
            <w:gridCol w:w="9691"/>
          </w:tblGrid>
        </w:tblGridChange>
      </w:tblGrid>
      <w:tr>
        <w:trPr>
          <w:cantSplit w:val="0"/>
          <w:tblHeader w:val="1"/>
        </w:trPr>
        <w:tc>
          <w:tcPr>
            <w:shd w:fill="edf5ff" w:val="clear"/>
            <w:tcMar>
              <w:top w:w="125.0" w:type="dxa"/>
              <w:bottom w:w="11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095ebe"/>
                <w:sz w:val="17"/>
                <w:szCs w:val="17"/>
                <w:rtl w:val="0"/>
              </w:rPr>
              <w:t xml:space="preserve">FINAL ENGINEERING DECISION  </w:t>
            </w:r>
            <w:r w:rsidDel="00000000" w:rsidR="00000000" w:rsidRPr="00000000">
              <w:rPr>
                <w:color w:val="071c46"/>
                <w:sz w:val="17"/>
                <w:szCs w:val="17"/>
                <w:rtl w:val="0"/>
              </w:rPr>
              <w:t xml:space="preserve">Build the pictured premium public assistant, but do not reproduce misleading simulated functionality. Its definitive behavior is read-only product intelligence + verified global readiness + appropriate conversion and human help. Account-specific payroll work stays inside the authenticated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4e6482"/>
          <w:sz w:val="15"/>
          <w:szCs w:val="15"/>
          <w:u w:val="none"/>
          <w:shd w:fill="auto" w:val="clear"/>
          <w:vertAlign w:val="baseline"/>
          <w:rtl w:val="0"/>
        </w:rPr>
        <w:t xml:space="preserve">End of specification  •  Engineering handoff v1.0</w:t>
      </w:r>
    </w:p>
    <w:sectPr>
      <w:headerReference r:id="rId8" w:type="default"/>
      <w:footerReference r:id="rId9" w:type="default"/>
      <w:pgSz w:h="16834" w:w="11909" w:orient="portrait"/>
      <w:pgMar w:bottom="1037" w:top="1066" w:left="1109" w:right="1109" w:header="432" w:footer="47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rlito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c2b4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4e6482"/>
        <w:sz w:val="14"/>
        <w:szCs w:val="14"/>
        <w:u w:val="none"/>
        <w:shd w:fill="auto" w:val="clear"/>
        <w:vertAlign w:val="baseline"/>
        <w:rtl w:val="0"/>
      </w:rPr>
      <w:t xml:space="preserve">ZP-PUB-AI-UX-001  |  09 OCT 2026  |  PAGE </w:t>
    </w: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c2b42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c2b4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9677.0" w:type="dxa"/>
      <w:jc w:val="left"/>
      <w:tblInd w:w="-115.0" w:type="dxa"/>
      <w:tblLayout w:type="fixed"/>
      <w:tblLook w:val="0400"/>
    </w:tblPr>
    <w:tblGrid>
      <w:gridCol w:w="5472"/>
      <w:gridCol w:w="4205"/>
      <w:tblGridChange w:id="0">
        <w:tblGrid>
          <w:gridCol w:w="5472"/>
          <w:gridCol w:w="4205"/>
        </w:tblGrid>
      </w:tblGridChange>
    </w:tblGrid>
    <w:tr>
      <w:trPr>
        <w:cantSplit w:val="0"/>
        <w:tblHeader w:val="1"/>
      </w:trPr>
      <w:tc>
        <w:tcPr/>
        <w:p w:rsidR="00000000" w:rsidDel="00000000" w:rsidP="00000000" w:rsidRDefault="00000000" w:rsidRPr="00000000" w14:paraId="0000015B">
          <w:pPr>
            <w:rPr/>
          </w:pPr>
          <w:r w:rsidDel="00000000" w:rsidR="00000000" w:rsidRPr="00000000">
            <w:rPr>
              <w:b w:val="1"/>
              <w:bCs w:val="1"/>
              <w:color w:val="095ebe"/>
              <w:sz w:val="17"/>
              <w:szCs w:val="17"/>
              <w:rtl w:val="0"/>
            </w:rPr>
            <w:t xml:space="preserve">ZOIKO  /  PAYROLL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C">
          <w:pPr>
            <w:jc w:val="right"/>
            <w:rPr/>
          </w:pPr>
          <w:r w:rsidDel="00000000" w:rsidR="00000000" w:rsidRPr="00000000">
            <w:rPr>
              <w:color w:val="4e6482"/>
              <w:sz w:val="13"/>
              <w:szCs w:val="13"/>
              <w:rtl w:val="0"/>
            </w:rPr>
            <w:t xml:space="preserve">PUBLIC AI ASSISTANT  •  ENGINEERING HANDOFF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color w:val="1c2b42"/>
        <w:sz w:val="18"/>
        <w:szCs w:val="18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rlito" w:cs="Carlito" w:eastAsia="Carlito" w:hAnsi="Carlito"/>
      <w:b w:val="1"/>
      <w:bCs w:val="1"/>
      <w:color w:val="071c4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rlito" w:cs="Carlito" w:eastAsia="Carlito" w:hAnsi="Carlito"/>
      <w:b w:val="1"/>
      <w:bCs w:val="1"/>
      <w:color w:val="071c46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Carlito" w:cs="Carlito" w:eastAsia="Carlito" w:hAnsi="Carlito"/>
      <w:b w:val="1"/>
      <w:bCs w:val="1"/>
      <w:color w:val="071c46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80" w:before="0" w:line="240" w:lineRule="auto"/>
    </w:pPr>
    <w:rPr>
      <w:rFonts w:ascii="Carlito" w:cs="Carlito" w:eastAsia="Carlito" w:hAnsi="Carlito"/>
      <w:b w:val="1"/>
      <w:bCs w:val="1"/>
      <w:color w:val="071c46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