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  <Override PartName="/word/charts/chart1.xml" ContentType="application/vnd.openxmlformats-officedocument.drawingml.chart+xml"/>
  <Override PartName="/word/embeddings/Microsoft_Excel_Worksheet1.xlsx" ContentType="application/vnd.openxmlformats-officedocument.spreadsheetml.sheet"/>
  <Override PartName="/word/embeddings/oleObject1.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CustomProps" Type="http://schemas.openxmlformats.org/officeDocument/2006/relationships/custom-properties" Target="docProps/custom.xml"/>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wpg="http://schemas.microsoft.com/office/word/2010/wordprocessingGroup" xmlns:wpc="http://schemas.microsoft.com/office/word/2010/wordprocessingCanvas" xmlns:v="urn:schemas-microsoft-com:vml" xmlns:o="urn:schemas-microsoft-com:office:office" xmlns:w10="urn:schemas-microsoft-com:office:word" xmlns:w14="http://schemas.microsoft.com/office/word/2010/wordml" xmlns:w15="http://schemas.microsoft.com/office/word/2012/wordml" xmlns:wp14="http://schemas.microsoft.com/office/word/2010/wordprocessingDrawing" mc:Ignorable="w14 w15 wp14">
  <w:background w:color="F2F7FF"/>
  <w:body>
    <w:p>
      <w:pPr>
        <w:pStyle w:val="Title"/>
      </w:pPr>
      <w:r>
        <w:t xml:space="preserve">docx-master 能力演示</w:t>
      </w:r>
    </w:p>
    <w:p>
      <w:pPr>
        <w:pStyle w:val="Subtitle"/>
      </w:pPr>
      <w:r>
        <w:t xml:space="preserve">引用注释 · 文字排版 · 页面分节 · 表格 · 样式模板</w:t>
      </w:r>
    </w:p>
    <w:p>
      <w:pPr>
        <w:pStyle w:val="Subtitle"/>
      </w:pPr>
      <w:r>
        <w:t xml:space="preserve">生成时间：</w:t>
      </w:r>
      <w:r>
        <w:fldChar w:fldCharType="begin"/>
      </w:r>
      <w:r>
        <w:instrText xml:space="preserve"> DATE </w:instrText>
      </w:r>
      <w:r>
        <w:fldChar w:fldCharType="separate"/>
      </w:r>
      <w:r>
        <w:t xml:space="preserve"/>
      </w:r>
      <w:r>
        <w:fldChar w:fldCharType="end"/>
      </w:r>
    </w:p>
    <w:p>
      <w:pPr>
        <w:pStyle w:val="Subtitle"/>
      </w:pPr>
      <w:r>
        <w:t xml:space="preserve">由 docx-master（Node OOXML 引擎 + pro 工具链）生成</w:t>
      </w:r>
    </w:p>
    <w:p>
      <w:r>
        <w:br w:type="page"/>
      </w:r>
    </w:p>
    <w:p>
      <w:pPr>
        <w:pStyle w:val="TOCTitle"/>
      </w:pPr>
      <w:r>
        <w:t xml:space="preserve">目　录</w:t>
      </w:r>
    </w:p>
    <w:p>
      <w:r>
        <w:fldChar w:fldCharType="begin"/>
      </w:r>
      <w:r>
        <w:instrText xml:space="preserve"> TOC \o "1-3" \h </w:instrText>
      </w:r>
      <w:r>
        <w:fldChar w:fldCharType="separate"/>
      </w:r>
      <w:r>
        <w:t xml:space="preserve">【请按 Ctrl+A，再按 F9 更新目录】</w:t>
      </w:r>
      <w:r>
        <w:fldChar w:fldCharType="end"/>
      </w:r>
    </w:p>
    <w:p>
      <w:pPr>
        <w:pStyle w:val="TOCTitle"/>
      </w:pPr>
      <w:r>
        <w:t xml:space="preserve">图表目录</w:t>
      </w:r>
    </w:p>
    <w:p>
      <w:r>
        <w:fldChar w:fldCharType="begin"/>
      </w:r>
      <w:r>
        <w:instrText xml:space="preserve"> TOC \h \c "Figure" </w:instrText>
      </w:r>
      <w:r>
        <w:fldChar w:fldCharType="separate"/>
      </w:r>
      <w:r>
        <w:t xml:space="preserve">【图目录：F9 更新】</w:t>
      </w:r>
      <w:r>
        <w:fldChar w:fldCharType="end"/>
      </w:r>
    </w:p>
    <w:p>
      <w:r>
        <w:fldChar w:fldCharType="begin"/>
      </w:r>
      <w:r>
        <w:instrText xml:space="preserve"> TOC \h \c "Table" </w:instrText>
      </w:r>
      <w:r>
        <w:fldChar w:fldCharType="separate"/>
      </w:r>
      <w:r>
        <w:t xml:space="preserve">【表目录：F9 更新】</w:t>
      </w:r>
      <w:r>
        <w:fldChar w:fldCharType="end"/>
      </w:r>
    </w:p>
    <w:p>
      <w:r>
        <w:br w:type="page"/>
      </w:r>
    </w:p>
    <w:p>
      <w:pPr>
        <w:sectPr>
          <w:headerReference w:type="default" r:id="rId7"/>
          <w:headerReference w:type="first" r:id="rId8"/>
          <w:headerReference w:type="even" r:id="rId9"/>
          <w:footerReference w:type="default" r:id="rId10"/>
          <w:footerReference w:type="first" r:id="rId11"/>
          <w:pgSz w:w="11906" w:h="16838"/>
          <w:pgMar w:top="1440" w:right="1797" w:bottom="1440" w:left="1797" w:header="851" w:footer="992" w:gutter="283"/>
          <w:pgNumType w:fmt="lowerRoman" w:start="1"/>
          <w:titlePg/>
          <w:docGrid w:type="lines" w:linePitch="312"/>
        </w:sectPr>
      </w:pPr>
    </w:p>
    <w:p>
      <w:pPr>
        <w:pStyle w:val="Heading1"/>
      </w:pPr>
      <w:r>
        <w:t xml:space="preserve">文字格式与排版</w:t>
      </w:r>
    </w:p>
    <w:p>
      <w:pPr>
        <w:pStyle w:val="_HiddenChapterCounter"/>
        <w:rPr>
          <w:vanish/>
        </w:rPr>
      </w:pPr>
      <w:r>
        <w:rPr>
          <w:vanish/>
        </w:rPr>
        <w:fldChar w:fldCharType="begin"/>
      </w:r>
      <w:r>
        <w:rPr>
          <w:vanish/>
        </w:rPr>
        <w:instrText xml:space="preserve"> SEQ _chap_Heading1 \* ARABIC </w:instrText>
      </w:r>
      <w:r>
        <w:rPr>
          <w:vanish/>
        </w:rPr>
        <w:fldChar w:fldCharType="separate"/>
      </w:r>
      <w:r>
        <w:rPr>
          <w:vanish/>
        </w:rPr>
        <w:t xml:space="preserve"/>
      </w:r>
      <w:r>
        <w:rPr>
          <w:vanish/>
        </w:rPr>
        <w:fldChar w:fldCharType="end"/>
      </w:r>
    </w:p>
    <w:p>
      <w:pPr>
        <w:pStyle w:val="BodyText"/>
      </w:pPr>
      <w:r>
        <w:t xml:space="preserve">本章演示字体、字符、段落与列表四类排版能力，全部由 Node 引擎的 styles[] 与 edits[] 声明式生成。</w:t>
      </w:r>
    </w:p>
    <w:p>
      <w:pPr>
        <w:pStyle w:val="Heading2"/>
      </w:pPr>
      <w:r>
        <w:t xml:space="preserve">字体与字符格式</w:t>
      </w:r>
      <w:r>
        <w:rPr>
          <w:vanish/>
        </w:rPr>
        <w:fldChar w:fldCharType="begin"/>
      </w:r>
      <w:r>
        <w:rPr>
          <w:vanish/>
        </w:rPr>
        <w:instrText xml:space="preserve"> XE "字体" </w:instrText>
      </w:r>
      <w:r>
        <w:rPr>
          <w:vanish/>
        </w:rPr>
        <w:fldChar w:fldCharType="end"/>
      </w:r>
    </w:p>
    <w:p>
      <w:pPr>
        <w:pStyle w:val="BodyText"/>
      </w:pPr>
      <w:r>
        <w:t xml:space="preserve">本段演示：常规、</w:t>
      </w:r>
      <w:r>
        <w:rPr>
          <w:b/>
          <w:bCs/>
        </w:rPr>
        <w:t xml:space="preserve">粗体</w:t>
      </w:r>
      <w:r>
        <w:t xml:space="preserve">、</w:t>
      </w:r>
      <w:r>
        <w:rPr>
          <w:i/>
          <w:iCs/>
        </w:rPr>
        <w:t xml:space="preserve">斜体</w:t>
      </w:r>
      <w:r>
        <w:t xml:space="preserve">、</w:t>
      </w:r>
      <w:r>
        <w:rPr>
          <w:u w:val="single"/>
        </w:rPr>
        <w:t xml:space="preserve">下划线</w:t>
      </w:r>
      <w:r>
        <w:t xml:space="preserve">、</w:t>
      </w:r>
      <w:r>
        <w:rPr>
          <w:strike/>
        </w:rPr>
        <w:t xml:space="preserve">删除线</w:t>
      </w:r>
      <w:r>
        <w:t xml:space="preserve">、</w:t>
      </w:r>
      <w:r>
        <w:rPr>
          <w:color w:val="C00000"/>
          <w:sz w:val="28"/>
          <w:szCs w:val="28"/>
        </w:rPr>
        <w:t xml:space="preserve">红色 14pt</w:t>
      </w:r>
      <w:r>
        <w:t xml:space="preserve">、</w:t>
      </w:r>
      <w:r>
        <w:rPr>
          <w:vertAlign w:val="superscript"/>
        </w:rPr>
        <w:t xml:space="preserve">上标</w:t>
      </w:r>
      <w:r>
        <w:t xml:space="preserve">与</w:t>
      </w:r>
      <w:r>
        <w:rPr>
          <w:vertAlign w:val="subscript"/>
        </w:rPr>
        <w:t xml:space="preserve">下标</w:t>
      </w:r>
      <w:r>
        <w:t xml:space="preserve">。</w:t>
      </w:r>
    </w:p>
    <w:p>
      <w:pPr>
        <w:pStyle w:val="BodyText"/>
      </w:pPr>
      <w:bookmarkStart w:id="3" w:name="fmt-special"/>
      <w:bookmarkEnd w:id="3"/>
      <w:r>
        <w:t xml:space="preserve">本段用于演示</w:t>
      </w:r>
      <w:r>
        <w:rPr>
          <w:spacing w:val="60"/>
        </w:rPr>
        <w:t xml:space="preserve">字符间距</w:t>
      </w:r>
      <w:r>
        <w:t xml:space="preserve">（加宽 3pt）、</w:t>
      </w:r>
      <w:r>
        <w:rPr>
          <w:em w:val="dot"/>
        </w:rPr>
        <w:t xml:space="preserve">着重号</w:t>
      </w:r>
      <w:r>
        <w:t xml:space="preserve">、</w:t>
      </w:r>
      <w:r>
        <w:rPr>
          <w:dstrike/>
        </w:rPr>
        <w:t xml:space="preserve">双删除线</w:t>
      </w:r>
      <w:r>
        <w:t xml:space="preserve">——这三项引擎不直接支持，由后处理补丁写入 OOXML 属性。</w:t>
      </w:r>
    </w:p>
    <w:p>
      <w:pPr>
        <w:pStyle w:val="BodyText"/>
      </w:pPr>
      <w:r>
        <w:t xml:space="preserve">字体族与字号还可通过主题层统一切换：本文的 theme.fonts 已把中文字体指到黑体（标题）/宋体（正文），西文用 Times New Roman。</w:t>
      </w:r>
    </w:p>
    <w:p>
      <w:pPr>
        <w:pStyle w:val="Heading2"/>
      </w:pPr>
      <w:r>
        <w:t xml:space="preserve">段落设置</w:t>
      </w:r>
    </w:p>
    <w:p>
      <w:pPr>
        <w:pStyle w:val="BodyText"/>
      </w:pPr>
      <w:r>
        <w:t xml:space="preserve">本段为默认正文：两端对齐、首行缩进 2 字符（firstLineIndent: 2char，随字号自动缩放）、1.5 倍行距。</w:t>
      </w:r>
    </w:p>
    <w:p>
      <w:pPr>
        <w:pStyle w:val="BodyText"/>
        <w:ind w:firstLine="0"/>
        <w:jc w:val="center"/>
      </w:pPr>
      <w:r>
        <w:t xml:space="preserve">本段居中（alignment: center）。</w:t>
      </w:r>
    </w:p>
    <w:p>
      <w:pPr>
        <w:pStyle w:val="BodyText"/>
        <w:ind w:firstLine="0"/>
        <w:jc w:val="right"/>
      </w:pPr>
      <w:r>
        <w:t xml:space="preserve">本段右对齐（alignment: right）。</w:t>
      </w:r>
    </w:p>
    <w:p>
      <w:pPr>
        <w:pStyle w:val="BodyText"/>
        <w:spacing w:line="480" w:lineRule="auto"/>
        <w:ind w:firstLine="0" w:leftChars="200"/>
      </w:pPr>
      <w:r>
        <w:t xml:space="preserve">本段左缩进 2 字符、2 倍行距（indentLeft + lineSpacing 倍数）。</w:t>
      </w:r>
    </w:p>
    <w:p>
      <w:pPr>
        <w:pStyle w:val="BodyText"/>
        <w:spacing w:before="240" w:after="240" w:line="400" w:lineRule="exact"/>
        <w:ind w:firstLine="0"/>
      </w:pPr>
      <w:r>
        <w:t xml:space="preserve">本段为固定行距 20pt、段前段后各 12pt（lineSpacing 传字符串即精确行高）。</w:t>
      </w:r>
    </w:p>
    <w:p>
      <w:pPr>
        <w:pStyle w:val="BodyText"/>
        <w:framePr w:dropCap="drop" w:lines="2" w:wrap="around" w:vAnchor="text" w:hAnchor="text"/>
      </w:pPr>
      <w:bookmarkStart w:id="4" w:name="para-dropcap"/>
      <w:r>
        <w:rPr>
          <w:sz w:val="42"/>
          <w:szCs w:val="42"/>
        </w:rPr>
        <w:t xml:space="preserve">本</w:t>
      </w:r>
      <w:r>
        <w:rPr/>
        <w:t xml:space="preserve">段演示首字下沉：段首字符应当被放大并嵌入左侧（后处理写入 framePr dropCap）。</w:t>
      </w:r>
      <w:bookmarkEnd w:id="4"/>
    </w:p>
    <w:p>
      <w:pPr>
        <w:pStyle w:val="Heading2"/>
      </w:pPr>
      <w:r>
        <w:t xml:space="preserve">项目符号、编号与多级列表</w:t>
      </w:r>
      <w:r>
        <w:rPr>
          <w:vanish/>
        </w:rPr>
        <w:fldChar w:fldCharType="begin"/>
      </w:r>
      <w:r>
        <w:rPr>
          <w:vanish/>
        </w:rPr>
        <w:instrText xml:space="preserve"> XE "列表" </w:instrText>
      </w:r>
      <w:r>
        <w:rPr>
          <w:vanish/>
        </w:rPr>
        <w:fldChar w:fldCharType="end"/>
      </w:r>
    </w:p>
    <w:p>
      <w:pPr>
        <w:pStyle w:val="ListBullet"/>
      </w:pPr>
      <w:r>
        <w:t xml:space="preserve">项目符号列表项一（numFmt: bullet，● 由编号方案渲染，不是字面字符）</w:t>
      </w:r>
    </w:p>
    <w:p>
      <w:pPr>
        <w:pStyle w:val="ListBullet"/>
      </w:pPr>
      <w:r>
        <w:t xml:space="preserve">项目符号列表项二</w:t>
      </w:r>
    </w:p>
    <w:p>
      <w:pPr>
        <w:pStyle w:val="ListNumber"/>
      </w:pPr>
      <w:r>
        <w:t xml:space="preserve">编号列表项一（numFmt: decimal，%1. 自动递增）</w:t>
      </w:r>
    </w:p>
    <w:p>
      <w:pPr>
        <w:pStyle w:val="ListNumber"/>
      </w:pPr>
      <w:r>
        <w:t xml:space="preserve">编号列表项二</w:t>
      </w:r>
    </w:p>
    <w:p>
      <w:pPr>
        <w:pStyle w:val="ListNumber"/>
      </w:pPr>
      <w:r>
        <w:t xml:space="preserve">编号列表项三</w:t>
      </w:r>
    </w:p>
    <w:p>
      <w:pPr>
        <w:pStyle w:val="ListLevel1"/>
      </w:pPr>
      <w:r>
        <w:t xml:space="preserve">多级列表第一层（%1.）</w:t>
      </w:r>
    </w:p>
    <w:p>
      <w:pPr>
        <w:pStyle w:val="ListLevel2"/>
      </w:pPr>
      <w:r>
        <w:t xml:space="preserve">多级列表第二层（%1.%2.）</w:t>
      </w:r>
    </w:p>
    <w:p>
      <w:pPr>
        <w:pStyle w:val="ListLevel3"/>
      </w:pPr>
      <w:r>
        <w:t xml:space="preserve">多级列表第三层（%3)）</w:t>
      </w:r>
    </w:p>
    <w:p>
      <w:pPr>
        <w:pStyle w:val="ListLevel2"/>
      </w:pPr>
      <w:r>
        <w:t xml:space="preserve">第二层第二项</w:t>
      </w:r>
    </w:p>
    <w:p>
      <w:pPr>
        <w:pStyle w:val="ListLevel1"/>
      </w:pPr>
      <w:r>
        <w:t xml:space="preserve">回到第一层第二项</w:t>
      </w:r>
    </w:p>
    <w:p>
      <w:pPr>
        <w:pStyle w:val="Heading2"/>
      </w:pPr>
      <w:r>
        <w:t xml:space="preserve">样式继承与自定义样式</w:t>
      </w:r>
    </w:p>
    <w:p>
      <w:pPr>
        <w:pStyle w:val="BodyText"/>
      </w:pPr>
      <w:r>
        <w:t xml:space="preserve">本文所有样式均以 Normal 为根，TableHeader 继承 TableText，BodyText 继承 Normal——styles[].basedOn 构成继承链，改一处即全篇联动。</w:t>
      </w:r>
    </w:p>
    <w:p>
      <w:pPr>
        <w:pStyle w:val="Quote"/>
        <w:ind w:leftChars="200" w:rightChars="200"/>
      </w:pPr>
      <w:r>
        <w:t xml:space="preserve">引用块样式（Quote）：楷体、左右各缩进 2 字符。</w:t>
      </w:r>
    </w:p>
    <w:p>
      <w:pPr>
        <w:pStyle w:val="Code"/>
      </w:pPr>
      <w:r>
        <w:t xml:space="preserve">node scripts/apply.js --dry-run build/config.json</w:t>
      </w:r>
    </w:p>
    <w:p>
      <w:r>
        <w:br w:type="page"/>
      </w:r>
    </w:p>
    <w:p>
      <w:pPr>
        <w:pStyle w:val="Heading1"/>
      </w:pPr>
      <w:r>
        <w:t xml:space="preserve">引用、注释与目录</w:t>
      </w:r>
    </w:p>
    <w:p>
      <w:pPr>
        <w:pStyle w:val="_HiddenChapterCounter"/>
        <w:rPr>
          <w:vanish/>
        </w:rPr>
      </w:pPr>
      <w:r>
        <w:rPr>
          <w:vanish/>
        </w:rPr>
        <w:fldChar w:fldCharType="begin"/>
      </w:r>
      <w:r>
        <w:rPr>
          <w:vanish/>
        </w:rPr>
        <w:instrText xml:space="preserve"> SEQ _chap_Heading1 \* ARABIC </w:instrText>
      </w:r>
      <w:r>
        <w:rPr>
          <w:vanish/>
        </w:rPr>
        <w:fldChar w:fldCharType="separate"/>
      </w:r>
      <w:r>
        <w:rPr>
          <w:vanish/>
        </w:rPr>
        <w:t xml:space="preserve"/>
      </w:r>
      <w:r>
        <w:rPr>
          <w:vanish/>
        </w:rPr>
        <w:fldChar w:fldCharType="end"/>
      </w:r>
    </w:p>
    <w:p>
      <w:pPr>
        <w:pStyle w:val="BodyText"/>
      </w:pPr>
      <w:r>
        <w:t xml:space="preserve">本章演示题注、交叉引用、参考文献、脚注尾注与索引等学术文档要素。</w:t>
      </w:r>
      <w:r>
        <w:fldChar w:fldCharType="begin"/>
      </w:r>
      <w:r>
        <w:instrText xml:space="preserve"> XE "题注" </w:instrText>
      </w:r>
      <w:r>
        <w:fldChar w:fldCharType="separate"/>
      </w:r>
      <w:r>
        <w:t/>
      </w:r>
      <w:r>
        <w:fldChar w:fldCharType="end"/>
      </w:r>
      <w:r>
        <w:fldChar w:fldCharType="begin"/>
      </w:r>
      <w:r>
        <w:instrText xml:space="preserve"> XE "交叉引用" </w:instrText>
      </w:r>
      <w:r>
        <w:fldChar w:fldCharType="separate"/>
      </w:r>
      <w:r>
        <w:t/>
      </w:r>
      <w:r>
        <w:fldChar w:fldCharType="end"/>
      </w:r>
      <w:r>
        <w:fldChar w:fldCharType="begin"/>
      </w:r>
      <w:r>
        <w:instrText xml:space="preserve"> XE "索引" </w:instrText>
      </w:r>
      <w:r>
        <w:fldChar w:fldCharType="separate"/>
      </w:r>
      <w:r>
        <w:t/>
      </w:r>
      <w:r>
        <w:fldChar w:fldCharType="end"/>
      </w:r>
    </w:p>
    <w:p>
      <w:pPr>
        <w:pStyle w:val="Heading2"/>
      </w:pPr>
      <w:r>
        <w:t xml:space="preserve">题注与交叉引用</w:t>
      </w:r>
      <w:r>
        <w:rPr>
          <w:vanish/>
        </w:rPr>
        <w:fldChar w:fldCharType="begin"/>
      </w:r>
      <w:r>
        <w:rPr>
          <w:vanish/>
        </w:rPr>
        <w:instrText xml:space="preserve"> XE "题注" </w:instrText>
      </w:r>
      <w:r>
        <w:rPr>
          <w:vanish/>
        </w:rPr>
        <w:fldChar w:fldCharType="end"/>
      </w:r>
    </w:p>
    <w:p>
      <w:pPr>
        <w:pStyle w:val="BodyText"/>
        <w:ind w:firstLine="0"/>
        <w:jc w:val="center"/>
      </w:pPr>
      <w:r>
        <w:drawing>
          <wp:inline xmlns:wp="http://schemas.openxmlformats.org/drawingml/2006/wordprocessingDrawing" distT="0" distB="0" distL="0" distR="0">
            <wp:extent cx="4320000" cy="2491200"/>
            <wp:effectExtent l="0" t="0" r="0" b="0"/>
            <wp:docPr id="1" name="示例插图" descr="示例插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示例插图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bookmarkStart w:id="5" w:name="fig-arch"/>
      <w:r>
        <w:t xml:space="preserve">图</w:t>
      </w:r>
      <w:r>
        <w:fldChar w:fldCharType="begin"/>
      </w:r>
      <w:r>
        <w:instrText xml:space="preserve"> SEQ _chap_Heading1 \* ARABIC \c </w:instrText>
      </w:r>
      <w:r>
        <w:fldChar w:fldCharType="separate"/>
      </w:r>
      <w:r>
        <w:t xml:space="preserve">2</w:t>
      </w:r>
      <w:r>
        <w:fldChar w:fldCharType="end"/>
      </w:r>
      <w:r>
        <w:t xml:space="preserve">.</w:t>
      </w:r>
      <w:r>
        <w:fldChar w:fldCharType="begin"/>
      </w:r>
      <w:r>
        <w:instrText xml:space="preserve"> SEQ Figure \* ARABIC \s 1 </w:instrText>
      </w:r>
      <w:r>
        <w:fldChar w:fldCharType="separate"/>
      </w:r>
      <w:r>
        <w:t xml:space="preserve">1</w:t>
      </w:r>
      <w:r>
        <w:fldChar w:fldCharType="end"/>
      </w:r>
      <w:bookmarkEnd w:id="5"/>
      <w:r>
        <w:t xml:space="preserve"> </w:t>
      </w:r>
      <w:r>
        <w:t xml:space="preserve">示例插图：由 edits[] 的 image 块插入</w:t>
      </w:r>
    </w:p>
    <w:p>
      <w:pPr>
        <w:pStyle w:val="BodyText"/>
      </w:pPr>
      <w:r>
        <w:t xml:space="preserve">如</w:t>
      </w:r>
      <w:r>
        <w:fldChar w:fldCharType="begin"/>
      </w:r>
      <w:r>
        <w:instrText xml:space="preserve"> REF fig-arch \h </w:instrText>
      </w:r>
      <w:r>
        <w:fldChar w:fldCharType="separate"/>
      </w:r>
      <w:r>
        <w:t xml:space="preserve">图2.1</w:t>
      </w:r>
      <w:r>
        <w:fldChar w:fldCharType="end"/>
      </w:r>
      <w:r>
        <w:t xml:space="preserve">所示，交叉引用由 REF 域渲染，编号随题注自动变化，绝不手写编号。</w:t>
      </w:r>
    </w:p>
    <w:p>
      <w:pPr>
        <w:pStyle w:val="TableCaption"/>
      </w:pPr>
      <w:bookmarkStart w:id="6" w:name="tab-demo"/>
      <w:r>
        <w:t xml:space="preserve">表</w:t>
      </w:r>
      <w:r>
        <w:fldChar w:fldCharType="begin"/>
      </w:r>
      <w:r>
        <w:instrText xml:space="preserve"> SEQ _chap_Heading1 \* ARABIC \c </w:instrText>
      </w:r>
      <w:r>
        <w:fldChar w:fldCharType="separate"/>
      </w:r>
      <w:r>
        <w:t xml:space="preserve">2</w:t>
      </w:r>
      <w:r>
        <w:fldChar w:fldCharType="end"/>
      </w:r>
      <w:r>
        <w:t xml:space="preserve">.</w:t>
      </w:r>
      <w:r>
        <w:fldChar w:fldCharType="begin"/>
      </w:r>
      <w:r>
        <w:instrText xml:space="preserve"> SEQ Table \* ARABIC \s 1 </w:instrText>
      </w:r>
      <w:r>
        <w:fldChar w:fldCharType="separate"/>
      </w:r>
      <w:r>
        <w:t xml:space="preserve">1</w:t>
      </w:r>
      <w:r>
        <w:fldChar w:fldCharType="end"/>
      </w:r>
      <w:bookmarkEnd w:id="6"/>
      <w:r>
        <w:t xml:space="preserve"> </w:t>
      </w:r>
      <w:r>
        <w:t xml:space="preserve">示例对照表：合并单元格 + 底纹 + 自定义边框 + 单元格边距</w:t>
      </w:r>
    </w:p>
    <w:tbl>
      <w:tblPr>
        <w:tblW w:w="0" w:type="auto"/>
        <w:tblBorders>
          <w:top w:val="single" w:sz="16" w:space="0" w:color="auto"/>
          <w:left w:val="nil"/>
          <w:bottom w:val="single" w:sz="16" w:space="0" w:color="auto"/>
          <w:right w:val="nil"/>
          <w:insideH w:val="single" w:sz="4" w:space="0" w:color="auto"/>
          <w:insideV w:val="single" w:sz="4" w:space="0" w:color="auto"/>
        </w:tblBorders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2268"/>
        <w:gridCol w:w="2268"/>
        <w:gridCol w:w="2268"/>
      </w:tblGrid>
      <w:tr>
        <w:trPr>
          <w:tblHeader/>
        </w:trPr>
        <w:tc>
          <w:tcPr>
            <w:gridSpan w:val="2"/>
            <w:vAlign w:val="center"/>
          </w:tcPr>
          <w:p>
            <w:pPr>
              <w:pStyle w:val="TableHeader"/>
            </w:pPr>
            <w:r>
              <w:t xml:space="preserve">能力项</w:t>
            </w:r>
          </w:p>
        </w:tc>
        <w:tc>
          <w:tcPr>
            <w:vAlign w:val="center"/>
          </w:tcPr>
          <w:p>
            <w:pPr>
              <w:pStyle w:val="TableHeader"/>
            </w:pPr>
            <w:r>
              <w:t xml:space="preserve">支持情况</w:t>
            </w:r>
          </w:p>
        </w:tc>
      </w:tr>
      <w:tr>
        <w:tc>
          <w:tcPr>
            <w:vMerge w:val="restart"/>
            <w:vAlign w:val="center"/>
          </w:tcPr>
          <w:p>
            <w:r>
              <w:t xml:space="preserve">题注与交叉引用</w:t>
            </w:r>
          </w:p>
        </w:tc>
        <w:tc>
          <w:tcPr>
            <w:vAlign w:val="center"/>
          </w:tcPr>
          <w:p>
            <w:r>
              <w:t xml:space="preserve">题注</w:t>
            </w:r>
          </w:p>
        </w:tc>
        <w:tc>
          <w:tcPr>
            <w:vAlign w:val="center"/>
          </w:tcPr>
          <w:p>
            <w:r>
              <w:t xml:space="preserve">SEQ 域</w:t>
            </w:r>
          </w:p>
        </w:tc>
      </w:tr>
      <w:tr>
        <w:tc>
          <w:tcPr>
            <w:vMerge/>
          </w:tcPr>
          <w:p/>
        </w:tc>
        <w:tc>
          <w:tcPr>
            <w:vAlign w:val="center"/>
          </w:tcPr>
          <w:p>
            <w:r>
              <w:t xml:space="preserve">交叉引用</w:t>
            </w:r>
          </w:p>
        </w:tc>
        <w:tc>
          <w:tcPr>
            <w:vAlign w:val="center"/>
          </w:tcPr>
          <w:p>
            <w:r>
              <w:t xml:space="preserve">REF 域</w:t>
            </w:r>
          </w:p>
        </w:tc>
      </w:tr>
      <w:tr>
        <w:tc>
          <w:tcPr>
            <w:vAlign w:val="center"/>
          </w:tcPr>
          <w:p>
            <w:r>
              <w:t xml:space="preserve">合并单元格</w:t>
            </w:r>
          </w:p>
        </w:tc>
        <w:tc>
          <w:tcPr>
            <w:vAlign w:val="center"/>
          </w:tcPr>
          <w:p>
            <w:r>
              <w:t xml:space="preserve">colspan / rowspan</w:t>
            </w:r>
          </w:p>
        </w:tc>
        <w:tc>
          <w:tcPr>
            <w:shd w:val="clear" w:color="auto" w:fill="E8F0FE"/>
            <w:vAlign w:val="center"/>
          </w:tcPr>
          <w:p>
            <w:r>
              <w:t xml:space="preserve">支持</w:t>
            </w:r>
          </w:p>
        </w:tc>
      </w:tr>
    </w:tbl>
    <w:p>
      <w:pPr>
        <w:pStyle w:val="BodyText"/>
      </w:pPr>
      <w:r>
        <w:t xml:space="preserve">如</w:t>
      </w:r>
      <w:r>
        <w:fldChar w:fldCharType="begin"/>
      </w:r>
      <w:r>
        <w:instrText xml:space="preserve"> REF tab-demo \h </w:instrText>
      </w:r>
      <w:r>
        <w:fldChar w:fldCharType="separate"/>
      </w:r>
      <w:r>
        <w:t xml:space="preserve">表2.1</w:t>
      </w:r>
      <w:r>
        <w:fldChar w:fldCharType="end"/>
      </w:r>
      <w:r>
        <w:t xml:space="preserve">所示，表格题注同样由 SEQ 域生成，表题注按规范置于表格上方。</w:t>
      </w:r>
    </w:p>
    <w:tbl>
      <w:tblPr>
        <w:tblW w:w="8306" w:type="dxa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Layout w:type="fixed"/>
      </w:tblPr>
      <w:tblGrid>
        <w:gridCol w:w="850"/>
        <w:gridCol w:w="5956"/>
        <w:gridCol w:w="1500"/>
      </w:tblGrid>
      <w:tr>
        <w:tc>
          <w:tcPr>
            <w:tcW w:w="850" w:type="dxa"/>
          </w:tcPr>
          <w:p/>
        </w:tc>
        <w:tc>
          <w:tcPr>
            <w:tcW w:w="5956" w:type="dxa"/>
          </w:tcPr>
          <w:p>
            <w:pPr>
              <w:pStyle w:val="Equation"/>
            </w:pPr>
            <m:oMathPara xmlns:m="http://schemas.openxmlformats.org/officeDocument/2006/math">
              <m:oMath xmlns:m="http://schemas.openxmlformats.org/officeDocument/2006/math">
                <m:r>
                  <w:rPr xmlns:w="http://schemas.openxmlformats.org/wordprocessingml/2006/main">
                    <w:rFonts w:ascii="Cambria Math" w:eastAsia="Cambria Math" w:hAnsi="Cambria Math" w:cs="Cambria Math"/>
                  </w:rPr>
                  <m:t>E</m:t>
                </m:r>
                <m:r>
                  <w:rPr xmlns:w="http://schemas.openxmlformats.org/wordprocessingml/2006/main">
                    <w:rFonts w:ascii="Cambria Math" w:eastAsia="Cambria Math" w:hAnsi="Cambria Math" w:cs="Cambria Math"/>
                  </w:rPr>
                  <m:t>=</m:t>
                </m:r>
                <m:r>
                  <w:rPr xmlns:w="http://schemas.openxmlformats.org/wordprocessingml/2006/main">
                    <w:rFonts w:ascii="Cambria Math" w:eastAsia="Cambria Math" w:hAnsi="Cambria Math" w:cs="Cambria Math"/>
                  </w:rPr>
                  <m:t>m</m:t>
                </m:r>
                <m:sSup>
                  <m:e>
                    <m:r>
                      <w:rPr xmlns:w="http://schemas.openxmlformats.org/wordprocessingml/2006/main">
                        <w:rFonts w:ascii="Cambria Math" w:eastAsia="Cambria Math" w:hAnsi="Cambria Math" w:cs="Cambria Math"/>
                      </w:rPr>
                      <m:t>c</m:t>
                    </m:r>
                  </m:e>
                  <m:sup>
                    <m:r>
                      <w:rPr xmlns:w="http://schemas.openxmlformats.org/wordprocessingml/2006/main">
                        <w:rFonts w:ascii="Cambria Math" w:eastAsia="Cambria Math" w:hAnsi="Cambria Math" w:cs="Cambria Math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eastAsia="Cambria Math" w:hAnsi="Cambria Math" w:cs="Cambria Math"/>
                  </w:rPr>
                  <m:t>+</m:t>
                </m:r>
                <m:nary>
                  <m:naryPr>
                    <m:chr m:val="∑"/>
                    <m:limLoc m:val="undOvr"/>
                  </m:naryPr>
                  <m:sub>
                    <m:r>
                      <w:rPr xmlns:w="http://schemas.openxmlformats.org/wordprocessingml/2006/main">
                        <w:rFonts w:ascii="Cambria Math" w:eastAsia="Cambria Math" w:hAnsi="Cambria Math" w:cs="Cambria Math"/>
                      </w:rPr>
                      <m:t>i</m:t>
                    </m:r>
                    <m:r>
                      <w:rPr xmlns:w="http://schemas.openxmlformats.org/wordprocessingml/2006/main">
                        <w:rFonts w:ascii="Cambria Math" w:eastAsia="Cambria Math" w:hAnsi="Cambria Math" w:cs="Cambria Math"/>
                      </w:rPr>
                      <m:t>=</m:t>
                    </m:r>
                    <m:r>
                      <w:rPr xmlns:w="http://schemas.openxmlformats.org/wordprocessingml/2006/main">
                        <w:rFonts w:ascii="Cambria Math" w:eastAsia="Cambria Math" w:hAnsi="Cambria Math" w:cs="Cambria Math"/>
                      </w:rPr>
                      <m:t>1</m:t>
                    </m:r>
                  </m:sub>
                  <m:sup>
                    <m:r>
                      <w:rPr xmlns:w="http://schemas.openxmlformats.org/wordprocessingml/2006/main">
                        <w:rFonts w:ascii="Cambria Math" w:eastAsia="Cambria Math" w:hAnsi="Cambria Math" w:cs="Cambria Math"/>
                      </w:rPr>
                      <m:t>n</m:t>
                    </m:r>
                  </m:sup>
                  <m:e>
                    <m:f>
                      <m:num>
                        <m:sSub>
                          <m:e>
                            <m:r>
                              <w:rPr xmlns:w="http://schemas.openxmlformats.org/wordprocessingml/2006/main">
                                <w:rFonts w:ascii="Cambria Math" w:eastAsia="Cambria Math" w:hAnsi="Cambria Math" w:cs="Cambria Math"/>
                              </w:rPr>
                              <m:t>x</m:t>
                            </m:r>
                          </m:e>
                          <m:sub>
                            <m:r>
                              <w:rPr xmlns:w="http://schemas.openxmlformats.org/wordprocessingml/2006/main">
                                <w:rFonts w:ascii="Cambria Math" w:eastAsia="Cambria Math" w:hAnsi="Cambria Math" w:cs="Cambria Math"/>
                              </w:rPr>
                              <m:t>i</m:t>
                            </m:r>
                          </m:sub>
                        </m:sSub>
                      </m:num>
                      <m:den>
                        <m:r>
                          <w:rPr xmlns:w="http://schemas.openxmlformats.org/wordprocessingml/2006/main">
                            <w:rFonts w:ascii="Cambria Math" w:eastAsia="Cambria Math" w:hAnsi="Cambria Math" w:cs="Cambria Math"/>
                          </w:rPr>
                          <m:t>2</m:t>
                        </m:r>
                      </m:den>
                    </m:f>
                  </m:e>
                </m:nary>
              </m:oMath>
            </m:oMathPara>
          </w:p>
        </w:tc>
        <w:tc>
          <w:tcPr>
            <w:tcW w:w="1500" w:type="dxa"/>
          </w:tcPr>
          <w:p>
            <w:pPr>
              <w:pStyle w:val="EquationCaption"/>
            </w:pPr>
            <w:bookmarkStart w:id="7" w:name="eq-demo"/>
            <w:r>
              <w:t xml:space="preserve">(</w:t>
            </w:r>
            <w:r>
              <w:fldChar w:fldCharType="begin"/>
            </w:r>
            <w:r>
              <w:instrText xml:space="preserve"> SEQ _chap_Heading1 \* ARABIC \c </w:instrText>
            </w:r>
            <w:r>
              <w:fldChar w:fldCharType="separate"/>
            </w:r>
            <w:r>
              <w:t xml:space="preserve">2</w:t>
            </w:r>
            <w:r>
              <w:fldChar w:fldCharType="end"/>
            </w:r>
            <w:r>
              <w:t xml:space="preserve">.</w:t>
            </w:r>
            <w:r>
              <w:fldChar w:fldCharType="begin"/>
            </w:r>
            <w:r>
              <w:instrText xml:space="preserve"> SEQ Equation \* ARABIC \s 1 </w:instrText>
            </w:r>
            <w:r>
              <w:fldChar w:fldCharType="separate"/>
            </w:r>
            <w:r>
              <w:t xml:space="preserve">1</w:t>
            </w:r>
            <w:r>
              <w:fldChar w:fldCharType="end"/>
            </w:r>
            <w:r>
              <w:t xml:space="preserve">)</w:t>
            </w:r>
            <w:bookmarkEnd w:id="7"/>
          </w:p>
        </w:tc>
      </w:tr>
    </w:tbl>
    <w:p>
      <w:pPr>
        <w:pStyle w:val="BodyText"/>
      </w:pPr>
      <w:r>
        <w:t xml:space="preserve">如</w:t>
      </w:r>
      <w:r>
        <w:fldChar w:fldCharType="begin"/>
      </w:r>
      <w:r>
        <w:instrText xml:space="preserve"> REF eq-demo \h </w:instrText>
      </w:r>
      <w:r>
        <w:fldChar w:fldCharType="separate"/>
      </w:r>
      <w:r>
        <w:t xml:space="preserve">(2.1)</w:t>
      </w:r>
      <w:r>
        <w:fldChar w:fldCharType="end"/>
      </w:r>
      <w:r>
        <w:t xml:space="preserve">所示，公式由 LaTeX 经 Temml 渲染为原生 OMML，题注编号独立成组。</w:t>
      </w:r>
    </w:p>
    <w:p>
      <w:pPr>
        <w:pStyle w:val="Heading2"/>
      </w:pPr>
      <w:r>
        <w:t xml:space="preserve">参考文献与引文</w:t>
      </w:r>
      <w:r>
        <w:rPr>
          <w:vanish/>
        </w:rPr>
        <w:fldChar w:fldCharType="begin"/>
      </w:r>
      <w:r>
        <w:rPr>
          <w:vanish/>
        </w:rPr>
        <w:instrText xml:space="preserve"> XE "参考文献" </w:instrText>
      </w:r>
      <w:r>
        <w:rPr>
          <w:vanish/>
        </w:rPr>
        <w:fldChar w:fldCharType="end"/>
      </w:r>
    </w:p>
    <w:p>
      <w:pPr>
        <w:pStyle w:val="BodyText"/>
      </w:pPr>
      <w:r>
        <w:t xml:space="preserve">本文方法参考了文献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REF ref-1 \n \h \* MERGEFORMAT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 xml:space="preserve">[1]</w:t>
      </w:r>
      <w:r>
        <w:rPr>
          <w:vertAlign w:val="superscript"/>
        </w:rPr>
        <w:fldChar w:fldCharType="end"/>
      </w:r>
      <w:r>
        <w:t xml:space="preserve">与文献</w:t>
      </w:r>
      <w:r>
        <w:rPr>
          <w:vertAlign w:val="superscript"/>
        </w:rPr>
        <w:fldChar w:fldCharType="begin"/>
      </w:r>
      <w:r>
        <w:rPr>
          <w:vertAlign w:val="superscript"/>
        </w:rPr>
        <w:instrText xml:space="preserve"> REF ref-2 \n \h \* MERGEFORMAT </w:instrText>
      </w:r>
      <w:r>
        <w:rPr>
          <w:vertAlign w:val="superscript"/>
        </w:rPr>
        <w:fldChar w:fldCharType="separate"/>
      </w:r>
      <w:r>
        <w:rPr>
          <w:vertAlign w:val="superscript"/>
        </w:rPr>
        <w:t xml:space="preserve">[2]</w:t>
      </w:r>
      <w:r>
        <w:rPr>
          <w:vertAlign w:val="superscript"/>
        </w:rPr>
        <w:fldChar w:fldCharType="end"/>
      </w:r>
      <w:r>
        <w:t xml:space="preserve">的工作，并采用 GB/T 7714 顺序编码制（上标引用）。</w:t>
      </w:r>
    </w:p>
    <w:p>
      <w:pPr>
        <w:pStyle w:val="Reference"/>
      </w:pPr>
      <w:bookmarkStart w:id="8" w:name="ref-1"/>
      <w:r>
        <w:t xml:space="preserve">张三, 李四. 基于 OOXML 的文档结构化方法研究[J]. 计算机应用, 2024, 44(3): 101-110.</w:t>
      </w:r>
      <w:bookmarkEnd w:id="8"/>
    </w:p>
    <w:p>
      <w:pPr>
        <w:pStyle w:val="Reference"/>
      </w:pPr>
      <w:bookmarkStart w:id="9" w:name="ref-2"/>
      <w:r>
        <w:t xml:space="preserve">Smith J, Doe A. Declarative document engineering with OOXML[J]. Journal of Document Engineering, 2023, 12(4): 55-72.</w:t>
      </w:r>
      <w:bookmarkEnd w:id="9"/>
    </w:p>
    <w:p>
      <w:pPr>
        <w:pStyle w:val="Reference"/>
      </w:pPr>
      <w:bookmarkStart w:id="10" w:name="ref-3"/>
      <w:r>
        <w:t xml:space="preserve">王五. Word 域代码与自动编号实战[M]. 北京: 人民邮电出版社, 2022: 88-120.</w:t>
      </w:r>
      <w:bookmarkEnd w:id="10"/>
    </w:p>
    <w:p>
      <w:pPr>
        <w:pStyle w:val="Heading2"/>
      </w:pPr>
      <w:r>
        <w:t xml:space="preserve">脚注、尾注与索引</w:t>
      </w:r>
    </w:p>
    <w:p>
      <w:pPr>
        <w:pStyle w:val="BodyText"/>
      </w:pPr>
      <w:bookmarkStart w:id="11" w:name="note-demo"/>
      <w:r>
        <w:t xml:space="preserve">本句末应出现脚注引用标记（脚注内容与尾注由后处理写入 footnotes.xml / endnotes.xml，引擎本身不生产这两个部件）。</w:t>
      </w:r>
      <w:bookmarkEnd w:id="11"/>
      <w:r>
        <w:rPr>
          <w:rStyle w:val="FootnoteReference"/>
        </w:rPr>
        <w:footnoteReference w:id="1"/>
      </w:r>
      <w:r>
        <w:rPr>
          <w:rStyle w:val="EndnoteReference"/>
        </w:rPr>
        <w:endnoteReference w:id="1"/>
      </w:r>
    </w:p>
    <w:p>
      <w:pPr>
        <w:pStyle w:val="BodyText"/>
      </w:pPr>
      <w:r>
        <w:t xml:space="preserve">索引条目与 INDEX 域同样由后处理写入（XE 域标记 + 索引域）。</w:t>
      </w:r>
    </w:p>
    <w:p>
      <w:pPr>
        <w:pStyle w:val="Heading2"/>
      </w:pPr>
      <w:r>
        <w:t xml:space="preserve">目录与图表目录</w:t>
      </w:r>
    </w:p>
    <w:p>
      <w:pPr>
        <w:pStyle w:val="BodyText"/>
      </w:pPr>
      <w:r>
        <w:t xml:space="preserve">本文开头的目录、图目录、表目录均为 TOC 域，样式更新由 Word 的更新域完成；引擎负责保证标题样式绑定 outlineLevel，让域能取到数据。</w:t>
      </w:r>
    </w:p>
    <w:p>
      <w:r>
        <w:br w:type="page"/>
      </w:r>
    </w:p>
    <w:p>
      <w:pPr>
        <w:pStyle w:val="Heading1"/>
      </w:pPr>
      <w:r>
        <w:t xml:space="preserve">页面、分节与布局</w:t>
      </w:r>
    </w:p>
    <w:p>
      <w:pPr>
        <w:pStyle w:val="_HiddenChapterCounter"/>
        <w:rPr>
          <w:vanish/>
        </w:rPr>
      </w:pPr>
      <w:r>
        <w:rPr>
          <w:vanish/>
        </w:rPr>
        <w:fldChar w:fldCharType="begin"/>
      </w:r>
      <w:r>
        <w:rPr>
          <w:vanish/>
        </w:rPr>
        <w:instrText xml:space="preserve"> SEQ _chap_Heading1 \* ARABIC </w:instrText>
      </w:r>
      <w:r>
        <w:rPr>
          <w:vanish/>
        </w:rPr>
        <w:fldChar w:fldCharType="separate"/>
      </w:r>
      <w:r>
        <w:rPr>
          <w:vanish/>
        </w:rPr>
        <w:t xml:space="preserve"/>
      </w:r>
      <w:r>
        <w:rPr>
          <w:vanish/>
        </w:rPr>
        <w:fldChar w:fldCharType="end"/>
      </w:r>
    </w:p>
    <w:p>
      <w:pPr>
        <w:pStyle w:val="BodyText"/>
      </w:pPr>
      <w:r>
        <w:t xml:space="preserve">本章覆盖页眉页脚、页码、分节、分栏、页面设置与水印等页面级能力。</w:t>
      </w:r>
    </w:p>
    <w:p>
      <w:pPr>
        <w:pStyle w:val="Heading2"/>
      </w:pPr>
      <w:r>
        <w:t xml:space="preserve">页眉页脚与页码</w:t>
      </w:r>
      <w:r>
        <w:rPr>
          <w:vanish/>
        </w:rPr>
        <w:fldChar w:fldCharType="begin"/>
      </w:r>
      <w:r>
        <w:rPr>
          <w:vanish/>
        </w:rPr>
        <w:instrText xml:space="preserve"> XE "页眉页脚" </w:instrText>
      </w:r>
      <w:r>
        <w:rPr>
          <w:vanish/>
        </w:rPr>
        <w:fldChar w:fldCharType="end"/>
      </w:r>
    </w:p>
    <w:p>
      <w:pPr>
        <w:pStyle w:val="BodyText"/>
      </w:pPr>
      <w:r>
        <w:t xml:space="preserve">本文页眉区分首页、奇数页与偶数页：封面首页无页眉（first 声明为空数组），奇数页用默认页眉，偶数页用另一套文案；页脚由 PAGE 与 NUMPAGES 域组成，显示第 X 页 / 共 Y 页。</w:t>
      </w:r>
    </w:p>
    <w:p>
      <w:pPr>
        <w:pStyle w:val="BodyText"/>
      </w:pPr>
      <w:r>
        <w:t xml:space="preserve">页码格式与起始值由 pageSetup.pgNumType 控制，可按节分别设置——封面与目录节用罗马数字，正文节从 1 重新开始（后处理阶段分节后写入）。</w:t>
      </w:r>
    </w:p>
    <w:p>
      <w:pPr>
        <w:sectPr>
          <w:headerReference w:type="default" r:id="rId7"/>
          <w:headerReference w:type="first" r:id="rId8"/>
          <w:headerReference w:type="even" r:id="rId9"/>
          <w:footerReference w:type="default" r:id="rId10"/>
          <w:footerReference w:type="first" r:id="rId11"/>
          <w:pgSz w:w="11906" w:h="16838"/>
          <w:pgMar w:top="1440" w:right="1797" w:bottom="1440" w:left="1797" w:header="851" w:footer="992" w:gutter="283"/>
          <w:pgBorders w:offsetFrom="page">
            <w:top w:val="single" w:sz="12" w:space="24" w:color="4472C4"/>
            <w:left w:val="single" w:sz="12" w:space="24" w:color="4472C4"/>
            <w:bottom w:val="single" w:sz="12" w:space="24" w:color="4472C4"/>
            <w:right w:val="single" w:sz="12" w:space="24" w:color="4472C4"/>
          </w:pgBorders>
          <w:pgNumType w:fmt="decimal" w:start="1"/>
          <w:titlePg/>
          <w:docGrid w:type="lines" w:linePitch="312"/>
        </w:sectPr>
      </w:pPr>
    </w:p>
    <w:p>
      <w:pPr>
        <w:pStyle w:val="Heading2"/>
      </w:pPr>
      <w:r>
        <w:t xml:space="preserve">分栏排版</w:t>
      </w:r>
    </w:p>
    <w:p>
      <w:pPr>
        <w:pStyle w:val="BodyText"/>
      </w:pPr>
      <w:bookmarkStart w:id="12" w:name="col-intro"/>
      <w:r>
        <w:t xml:space="preserve">以下两段位于一个双栏节中，栏间距 1 厘米并带分隔线，由 pageSetup.columns 声明。</w:t>
      </w:r>
      <w:bookmarkEnd w:id="12"/>
    </w:p>
    <w:p>
      <w:pPr>
        <w:pStyle w:val="BodyText"/>
      </w:pPr>
      <w:bookmarkStart w:id="13" w:name="col-a"/>
      <w:r>
        <w:t xml:space="preserve">第一栏文字：分栏属于节级属性，同一文档中不同节可有不同栏数，例如封面单栏、正文双栏、参考文献三栏。</w:t>
      </w:r>
      <w:bookmarkEnd w:id="13"/>
    </w:p>
    <w:p>
      <w:pPr>
        <w:pStyle w:val="BodyText"/>
      </w:pPr>
      <w:bookmarkStart w:id="14" w:name="col-b"/>
      <w:r>
        <w:t xml:space="preserve">第二栏文字：引擎支持等宽栏、自定义栏间距与分隔线，也支持不等宽栏——用 widths 数组声明各栏宽度。</w:t>
      </w:r>
      <w:bookmarkEnd w:id="14"/>
    </w:p>
    <w:p>
      <w:pPr>
        <w:sectPr>
          <w:headerReference w:type="default" r:id="rId7"/>
          <w:headerReference w:type="first" r:id="rId8"/>
          <w:headerReference w:type="even" r:id="rId9"/>
          <w:footerReference w:type="default" r:id="rId10"/>
          <w:footerReference w:type="first" r:id="rId11"/>
          <w:pgSz w:w="11906" w:h="16838"/>
          <w:pgMar w:top="1440" w:right="1797" w:bottom="1440" w:left="1797" w:header="851" w:footer="992" w:gutter="283"/>
          <w:cols w:num="2" w:space="567" w:sep="1"/>
          <w:titlePg/>
          <w:docGrid w:type="lines" w:linePitch="312"/>
        </w:sectPr>
      </w:pPr>
    </w:p>
    <w:p>
      <w:pPr>
        <w:pStyle w:val="Heading2"/>
      </w:pPr>
      <w:r>
        <w:t xml:space="preserve">页面设置与水印</w:t>
      </w:r>
    </w:p>
    <w:p>
      <w:pPr>
        <w:pStyle w:val="BodyText"/>
      </w:pPr>
      <w:r>
        <w:t xml:space="preserve">页面设置：A4 纵向，上下边距 2.54cm、左右 3.17cm，页眉距边界 1.5cm、页脚 1.75cm、装订线 0.5cm——全部由 pageSetup 一处声明。</w:t>
      </w:r>
    </w:p>
    <w:p>
      <w:pPr>
        <w:pStyle w:val="BodyText"/>
      </w:pPr>
      <w:r>
        <w:t xml:space="preserve">页面背景色、页面边框与水印属于文档级装饰，引擎没有声明式入口，由后处理补丁写入 w:background、w:pgBorders 与页眉中的 VML 水印形状。</w:t>
      </w:r>
    </w:p>
    <w:p>
      <w:pPr>
        <w:sectPr>
          <w:headerReference w:type="default" r:id="rId7"/>
          <w:headerReference w:type="first" r:id="rId8"/>
          <w:headerReference w:type="even" r:id="rId9"/>
          <w:footerReference w:type="default" r:id="rId10"/>
          <w:footerReference w:type="first" r:id="rId11"/>
          <w:pgSz w:w="11906" w:h="16838"/>
          <w:pgMar w:top="1440" w:right="1797" w:bottom="1440" w:left="1797" w:header="851" w:footer="992" w:gutter="283"/>
          <w:cols w:num="1" w:space="425"/>
          <w:titlePg/>
          <w:docGrid w:type="lines" w:linePitch="312"/>
        </w:sectPr>
      </w:pPr>
    </w:p>
    <w:p>
      <w:pPr>
        <w:pStyle w:val="Heading2"/>
      </w:pPr>
      <w:r>
        <w:t xml:space="preserve">文字方向（竖排）</w:t>
      </w:r>
    </w:p>
    <w:p>
      <w:pPr>
        <w:pStyle w:val="BodyText"/>
      </w:pPr>
      <w:bookmarkStart w:id="15" w:name="vertical-section"/>
      <w:r>
        <w:t xml:space="preserve">本节应整体竖排：文字自上而下、行自右向左。OOXML 用节属性 w:textDirection = tbRl 表达，由后处理补丁写入（同时把该节纸张改为横向以适配竖排）。</w:t>
      </w:r>
      <w:bookmarkEnd w:id="15"/>
    </w:p>
    <w:p>
      <w:r>
        <w:br w:type="page"/>
      </w:r>
    </w:p>
    <w:p>
      <w:pPr>
        <w:sectPr>
          <w:headerReference w:type="default" r:id="rId7"/>
          <w:headerReference w:type="first" r:id="rId8"/>
          <w:headerReference w:type="even" r:id="rId9"/>
          <w:footerReference w:type="default" r:id="rId10"/>
          <w:footerReference w:type="first" r:id="rId11"/>
          <w:pgSz w:w="16838" w:h="11906" w:orient="landscape"/>
          <w:pgMar w:top="1440" w:right="1797" w:bottom="1440" w:left="1797" w:header="851" w:footer="992" w:gutter="283"/>
          <w:titlePg/>
          <w:textDirection w:val="tbRl"/>
          <w:docGrid w:type="lines" w:linePitch="312"/>
        </w:sectPr>
      </w:pPr>
    </w:p>
    <w:p>
      <w:pPr>
        <w:pStyle w:val="Heading1"/>
      </w:pPr>
      <w:r>
        <w:t xml:space="preserve">表格相关</w:t>
      </w:r>
      <w:r>
        <w:rPr>
          <w:vanish/>
        </w:rPr>
        <w:fldChar w:fldCharType="begin"/>
      </w:r>
      <w:r>
        <w:rPr>
          <w:vanish/>
        </w:rPr>
        <w:instrText xml:space="preserve"> XE "表格" </w:instrText>
      </w:r>
      <w:r>
        <w:rPr>
          <w:vanish/>
        </w:rPr>
        <w:fldChar w:fldCharType="end"/>
      </w:r>
    </w:p>
    <w:p>
      <w:pPr>
        <w:pStyle w:val="_HiddenChapterCounter"/>
        <w:rPr>
          <w:vanish/>
        </w:rPr>
      </w:pPr>
      <w:r>
        <w:rPr>
          <w:vanish/>
        </w:rPr>
        <w:fldChar w:fldCharType="begin"/>
      </w:r>
      <w:r>
        <w:rPr>
          <w:vanish/>
        </w:rPr>
        <w:instrText xml:space="preserve"> SEQ _chap_Heading1 \* ARABIC </w:instrText>
      </w:r>
      <w:r>
        <w:rPr>
          <w:vanish/>
        </w:rPr>
        <w:fldChar w:fldCharType="separate"/>
      </w:r>
      <w:r>
        <w:rPr>
          <w:vanish/>
        </w:rPr>
        <w:t xml:space="preserve"/>
      </w:r>
      <w:r>
        <w:rPr>
          <w:vanish/>
        </w:rPr>
        <w:fldChar w:fldCharType="end"/>
      </w:r>
    </w:p>
    <w:p>
      <w:pPr>
        <w:pStyle w:val="BodyText"/>
      </w:pPr>
      <w:r>
        <w:t xml:space="preserve">本章展示复杂表格、跨页表头重复、嵌套表格、单元格属性与表格内公式计算。</w:t>
      </w:r>
    </w:p>
    <w:p>
      <w:pPr>
        <w:pStyle w:val="Heading2"/>
      </w:pPr>
      <w:r>
        <w:t xml:space="preserve">复杂表格</w:t>
      </w:r>
    </w:p>
    <w:p>
      <w:pPr>
        <w:pStyle w:val="BodyText"/>
      </w:pPr>
      <w:r>
        <w:t xml:space="preserve">下表同时包含横向合并（colspan）、纵向合并（rowspan）、单元格底纹、自定义双线边框与单元格边距（padding）。</w:t>
      </w:r>
    </w:p>
    <w:tbl>
      <w:tblPr>
        <w:tblW w:w="0" w:type="auto"/>
        <w:tblBorders>
          <w:top w:val="double" w:sz="16" w:space="0" w:color="auto"/>
          <w:left w:val="nil"/>
          <w:bottom w:val="double" w:sz="16" w:space="0" w:color="auto"/>
          <w:right w:val="nil"/>
          <w:insideH w:val="single" w:sz="4" w:space="0" w:color="auto"/>
          <w:insideV w:val="single" w:sz="4" w:space="0" w:color="auto"/>
        </w:tblBorders>
        <w:tblCellMar>
          <w:top w:w="60" w:type="dxa"/>
          <w:left w:w="120" w:type="dxa"/>
          <w:bottom w:w="60" w:type="dxa"/>
          <w:right w:w="120" w:type="dxa"/>
        </w:tblCellMar>
      </w:tblPr>
      <w:tblGrid>
        <w:gridCol w:w="1984"/>
        <w:gridCol w:w="1984"/>
        <w:gridCol w:w="2835"/>
      </w:tblGrid>
      <w:tr>
        <w:trPr>
          <w:tblHeader/>
        </w:trPr>
        <w:tc>
          <w:tcPr>
            <w:gridSpan w:val="3"/>
            <w:shd w:val="clear" w:color="auto" w:fill="DEEAF6"/>
            <w:vAlign w:val="center"/>
          </w:tcPr>
          <w:p>
            <w:pPr>
              <w:pStyle w:val="TableHeader"/>
            </w:pPr>
            <w:r>
              <w:t xml:space="preserve">合并单元格与单元格属性演示</w:t>
            </w:r>
          </w:p>
        </w:tc>
      </w:tr>
      <w:tr>
        <w:tc>
          <w:tcPr>
            <w:vMerge w:val="restart"/>
            <w:vAlign w:val="center"/>
          </w:tcPr>
          <w:p>
            <w:r>
              <w:t xml:space="preserve">能力</w:t>
            </w:r>
          </w:p>
        </w:tc>
        <w:tc>
          <w:tcPr>
            <w:vAlign w:val="center"/>
          </w:tcPr>
          <w:p>
            <w:r>
              <w:t xml:space="preserve">写法</w:t>
            </w:r>
          </w:p>
        </w:tc>
        <w:tc>
          <w:tcPr>
            <w:vAlign w:val="center"/>
          </w:tcPr>
          <w:p>
            <w:r>
              <w:t xml:space="preserve">效果</w:t>
            </w:r>
          </w:p>
        </w:tc>
      </w:tr>
      <w:tr>
        <w:tc>
          <w:tcPr>
            <w:vMerge/>
          </w:tcPr>
          <w:p/>
        </w:tc>
        <w:tc>
          <w:tcPr>
            <w:vAlign w:val="center"/>
          </w:tcPr>
          <w:p>
            <w:r>
              <w:t xml:space="preserve">colspan</w:t>
            </w:r>
          </w:p>
        </w:tc>
        <w:tc>
          <w:tcPr>
            <w:vAlign w:val="center"/>
          </w:tcPr>
          <w:p>
            <w:r>
              <w:t xml:space="preserve">横向合并为一格</w:t>
            </w:r>
          </w:p>
        </w:tc>
      </w:tr>
      <w:tr>
        <w:tc>
          <w:tcPr>
            <w:shd w:val="clear" w:color="auto" w:fill="FFF2CC"/>
            <w:vAlign w:val="center"/>
          </w:tcPr>
          <w:p>
            <w:r>
              <w:t xml:space="preserve">底纹</w:t>
            </w:r>
          </w:p>
        </w:tc>
        <w:tc>
          <w:tcPr>
            <w:shd w:val="clear" w:color="auto" w:fill="E2EFDA"/>
            <w:vAlign w:val="center"/>
          </w:tcPr>
          <w:p>
            <w:r>
              <w:t xml:space="preserve">shading</w:t>
            </w:r>
          </w:p>
        </w:tc>
        <w:tc>
          <w:tcPr>
            <w:vAlign w:val="center"/>
          </w:tcPr>
          <w:p>
            <w:r>
              <w:t xml:space="preserve">单元格填充色</w:t>
            </w:r>
          </w:p>
        </w:tc>
      </w:tr>
      <w:tr>
        <w:tc>
          <w:tcPr>
            <w:vAlign w:val="center"/>
          </w:tcPr>
          <w:p>
            <w:r>
              <w:t xml:space="preserve">单元格边距</w:t>
            </w:r>
          </w:p>
        </w:tc>
        <w:tc>
          <w:tcPr>
            <w:vAlign w:val="center"/>
          </w:tcPr>
          <w:p>
            <w:r>
              <w:t xml:space="preserve">padding</w:t>
            </w:r>
          </w:p>
        </w:tc>
        <w:tc>
          <w:tcPr>
            <w:vAlign w:val="center"/>
          </w:tcPr>
          <w:p>
            <w:r>
              <w:t xml:space="preserve">四边可分别设置</w:t>
            </w:r>
          </w:p>
        </w:tc>
      </w:tr>
    </w:tbl>
    <w:p>
      <w:pPr>
        <w:pStyle w:val="Heading2"/>
      </w:pPr>
      <w:r>
        <w:t xml:space="preserve">跨页表头重复</w:t>
      </w:r>
    </w:p>
    <w:p>
      <w:pPr>
        <w:pStyle w:val="BodyText"/>
      </w:pPr>
      <w:r>
        <w:t xml:space="preserve">下表首行声明 headerRows: 1，表格跨页时 Word 会自动在每一页顶部重复表头行。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20"/>
        <w:gridCol w:w="3402"/>
        <w:gridCol w:w="2381"/>
      </w:tblGrid>
      <w:tr>
        <w:trPr>
          <w:tblHeader/>
        </w:trPr>
        <w:tc>
          <w:tcPr>
            <w:vAlign w:val="center"/>
          </w:tcPr>
          <w:p>
            <w:pPr>
              <w:pStyle w:val="TableHeader"/>
            </w:pPr>
            <w:r>
              <w:t xml:space="preserve">序号</w:t>
            </w:r>
          </w:p>
        </w:tc>
        <w:tc>
          <w:tcPr>
            <w:vAlign w:val="center"/>
          </w:tcPr>
          <w:p>
            <w:pPr>
              <w:pStyle w:val="TableHeader"/>
            </w:pPr>
            <w:r>
              <w:t xml:space="preserve">条目</w:t>
            </w:r>
          </w:p>
        </w:tc>
        <w:tc>
          <w:tcPr>
            <w:vAlign w:val="center"/>
          </w:tcPr>
          <w:p>
            <w:pPr>
              <w:pStyle w:val="TableHeader"/>
            </w:pPr>
            <w:r>
              <w:t xml:space="preserve">说明</w:t>
            </w:r>
          </w:p>
        </w:tc>
      </w:tr>
      <w:tr>
        <w:tc>
          <w:tcPr>
            <w:vAlign w:val="center"/>
          </w:tcPr>
          <w:p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表头重复演示</w:t>
            </w:r>
          </w:p>
        </w:tc>
        <w:tc>
          <w:tcPr>
            <w:vAlign w:val="center"/>
          </w:tcPr>
          <w:p>
            <w:r>
              <w:t xml:space="preserve">本行应出现在每一页顶部</w:t>
            </w:r>
          </w:p>
        </w:tc>
      </w:tr>
      <w:tr>
        <w:tc>
          <w:tcPr>
            <w:vAlign w:val="center"/>
          </w:tcPr>
          <w:p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跨页数据行</w:t>
            </w:r>
          </w:p>
        </w:tc>
        <w:tc>
          <w:tcPr>
            <w:vAlign w:val="center"/>
          </w:tcPr>
          <w:p>
            <w:r>
              <w:t xml:space="preserve">填充行以触发分页</w:t>
            </w:r>
          </w:p>
        </w:tc>
      </w:tr>
      <w:tr>
        <w:tc>
          <w:tcPr>
            <w:vAlign w:val="center"/>
          </w:tcPr>
          <w:p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跨页数据行</w:t>
            </w:r>
          </w:p>
        </w:tc>
        <w:tc>
          <w:tcPr>
            <w:vAlign w:val="center"/>
          </w:tcPr>
          <w:p>
            <w:r>
              <w:t xml:space="preserve">填充行以触发分页</w:t>
            </w:r>
          </w:p>
        </w:tc>
      </w:tr>
      <w:tr>
        <w:tc>
          <w:tcPr>
            <w:vAlign w:val="center"/>
          </w:tcPr>
          <w:p>
            <w:r>
              <w:t xml:space="preserve">4</w:t>
            </w:r>
          </w:p>
        </w:tc>
        <w:tc>
          <w:tcPr>
            <w:vAlign w:val="center"/>
          </w:tcPr>
          <w:p>
            <w:r>
              <w:t xml:space="preserve">跨页数据行</w:t>
            </w:r>
          </w:p>
        </w:tc>
        <w:tc>
          <w:tcPr>
            <w:vAlign w:val="center"/>
          </w:tcPr>
          <w:p>
            <w:r>
              <w:t xml:space="preserve">填充行以触发分页</w:t>
            </w:r>
          </w:p>
        </w:tc>
      </w:tr>
      <w:tr>
        <w:tc>
          <w:tcPr>
            <w:vAlign w:val="center"/>
          </w:tcPr>
          <w:p>
            <w:r>
              <w:t xml:space="preserve">5</w:t>
            </w:r>
          </w:p>
        </w:tc>
        <w:tc>
          <w:tcPr>
            <w:vAlign w:val="center"/>
          </w:tcPr>
          <w:p>
            <w:r>
              <w:t xml:space="preserve">跨页数据行</w:t>
            </w:r>
          </w:p>
        </w:tc>
        <w:tc>
          <w:tcPr>
            <w:vAlign w:val="center"/>
          </w:tcPr>
          <w:p>
            <w:r>
              <w:t xml:space="preserve">填充行以触发分页</w:t>
            </w:r>
          </w:p>
        </w:tc>
      </w:tr>
      <w:tr>
        <w:tc>
          <w:tcPr>
            <w:vAlign w:val="center"/>
          </w:tcPr>
          <w:p>
            <w:r>
              <w:t xml:space="preserve">6</w:t>
            </w:r>
          </w:p>
        </w:tc>
        <w:tc>
          <w:tcPr>
            <w:vAlign w:val="center"/>
          </w:tcPr>
          <w:p>
            <w:r>
              <w:t xml:space="preserve">跨页数据行</w:t>
            </w:r>
          </w:p>
        </w:tc>
        <w:tc>
          <w:tcPr>
            <w:vAlign w:val="center"/>
          </w:tcPr>
          <w:p>
            <w:r>
              <w:t xml:space="preserve">填充行以触发分页</w:t>
            </w:r>
          </w:p>
        </w:tc>
      </w:tr>
      <w:tr>
        <w:tc>
          <w:tcPr>
            <w:vAlign w:val="center"/>
          </w:tcPr>
          <w:p>
            <w:r>
              <w:t xml:space="preserve">7</w:t>
            </w:r>
          </w:p>
        </w:tc>
        <w:tc>
          <w:tcPr>
            <w:vAlign w:val="center"/>
          </w:tcPr>
          <w:p>
            <w:r>
              <w:t xml:space="preserve">跨页数据行</w:t>
            </w:r>
          </w:p>
        </w:tc>
        <w:tc>
          <w:tcPr>
            <w:vAlign w:val="center"/>
          </w:tcPr>
          <w:p>
            <w:r>
              <w:t xml:space="preserve">填充行以触发分页</w:t>
            </w:r>
          </w:p>
        </w:tc>
      </w:tr>
      <w:tr>
        <w:tc>
          <w:tcPr>
            <w:vAlign w:val="center"/>
          </w:tcPr>
          <w:p>
            <w:r>
              <w:t xml:space="preserve">8</w:t>
            </w:r>
          </w:p>
        </w:tc>
        <w:tc>
          <w:tcPr>
            <w:vAlign w:val="center"/>
          </w:tcPr>
          <w:p>
            <w:r>
              <w:t xml:space="preserve">跨页数据行</w:t>
            </w:r>
          </w:p>
        </w:tc>
        <w:tc>
          <w:tcPr>
            <w:vAlign w:val="center"/>
          </w:tcPr>
          <w:p>
            <w:r>
              <w:t xml:space="preserve">填充行以触发分页</w:t>
            </w:r>
          </w:p>
        </w:tc>
      </w:tr>
      <w:tr>
        <w:tc>
          <w:tcPr>
            <w:vAlign w:val="center"/>
          </w:tcPr>
          <w:p>
            <w:r>
              <w:t xml:space="preserve">9</w:t>
            </w:r>
          </w:p>
        </w:tc>
        <w:tc>
          <w:tcPr>
            <w:vAlign w:val="center"/>
          </w:tcPr>
          <w:p>
            <w:r>
              <w:t xml:space="preserve">跨页数据行</w:t>
            </w:r>
          </w:p>
        </w:tc>
        <w:tc>
          <w:tcPr>
            <w:vAlign w:val="center"/>
          </w:tcPr>
          <w:p>
            <w:r>
              <w:t xml:space="preserve">填充行以触发分页</w:t>
            </w:r>
          </w:p>
        </w:tc>
      </w:tr>
      <w:tr>
        <w:tc>
          <w:tcPr>
            <w:vAlign w:val="center"/>
          </w:tcPr>
          <w:p>
            <w:r>
              <w:t xml:space="preserve">10</w:t>
            </w:r>
          </w:p>
        </w:tc>
        <w:tc>
          <w:tcPr>
            <w:vAlign w:val="center"/>
          </w:tcPr>
          <w:p>
            <w:r>
              <w:t xml:space="preserve">跨页数据行</w:t>
            </w:r>
          </w:p>
        </w:tc>
        <w:tc>
          <w:tcPr>
            <w:vAlign w:val="center"/>
          </w:tcPr>
          <w:p>
            <w:r>
              <w:t xml:space="preserve">填充行以触发分页</w:t>
            </w:r>
          </w:p>
        </w:tc>
      </w:tr>
      <w:tr>
        <w:tc>
          <w:tcPr>
            <w:vAlign w:val="center"/>
          </w:tcPr>
          <w:p>
            <w:r>
              <w:t xml:space="preserve">11</w:t>
            </w:r>
          </w:p>
        </w:tc>
        <w:tc>
          <w:tcPr>
            <w:vAlign w:val="center"/>
          </w:tcPr>
          <w:p>
            <w:r>
              <w:t xml:space="preserve">跨页数据行</w:t>
            </w:r>
          </w:p>
        </w:tc>
        <w:tc>
          <w:tcPr>
            <w:vAlign w:val="center"/>
          </w:tcPr>
          <w:p>
            <w:r>
              <w:t xml:space="preserve">填充行以触发分页</w:t>
            </w:r>
          </w:p>
        </w:tc>
      </w:tr>
      <w:tr>
        <w:tc>
          <w:tcPr>
            <w:vAlign w:val="center"/>
          </w:tcPr>
          <w:p>
            <w:r>
              <w:t xml:space="preserve">12</w:t>
            </w:r>
          </w:p>
        </w:tc>
        <w:tc>
          <w:tcPr>
            <w:vAlign w:val="center"/>
          </w:tcPr>
          <w:p>
            <w:r>
              <w:t xml:space="preserve">跨页数据行</w:t>
            </w:r>
          </w:p>
        </w:tc>
        <w:tc>
          <w:tcPr>
            <w:vAlign w:val="center"/>
          </w:tcPr>
          <w:p>
            <w:r>
              <w:t xml:space="preserve">填充行以触发分页</w:t>
            </w:r>
          </w:p>
        </w:tc>
      </w:tr>
      <w:tr>
        <w:tc>
          <w:tcPr>
            <w:vAlign w:val="center"/>
          </w:tcPr>
          <w:p>
            <w:r>
              <w:t xml:space="preserve">13</w:t>
            </w:r>
          </w:p>
        </w:tc>
        <w:tc>
          <w:tcPr>
            <w:vAlign w:val="center"/>
          </w:tcPr>
          <w:p>
            <w:r>
              <w:t xml:space="preserve">跨页数据行</w:t>
            </w:r>
          </w:p>
        </w:tc>
        <w:tc>
          <w:tcPr>
            <w:vAlign w:val="center"/>
          </w:tcPr>
          <w:p>
            <w:r>
              <w:t xml:space="preserve">填充行以触发分页</w:t>
            </w:r>
          </w:p>
        </w:tc>
      </w:tr>
      <w:tr>
        <w:tc>
          <w:tcPr>
            <w:vAlign w:val="center"/>
          </w:tcPr>
          <w:p>
            <w:r>
              <w:t xml:space="preserve">14</w:t>
            </w:r>
          </w:p>
        </w:tc>
        <w:tc>
          <w:tcPr>
            <w:vAlign w:val="center"/>
          </w:tcPr>
          <w:p>
            <w:r>
              <w:t xml:space="preserve">跨页数据行</w:t>
            </w:r>
          </w:p>
        </w:tc>
        <w:tc>
          <w:tcPr>
            <w:vAlign w:val="center"/>
          </w:tcPr>
          <w:p>
            <w:r>
              <w:t xml:space="preserve">填充行以触发分页</w:t>
            </w:r>
          </w:p>
        </w:tc>
      </w:tr>
    </w:tbl>
    <w:p>
      <w:pPr>
        <w:pStyle w:val="Heading2"/>
      </w:pPr>
      <w:r>
        <w:t xml:space="preserve">表格嵌套</w:t>
      </w:r>
    </w:p>
    <w:p>
      <w:pPr>
        <w:pStyle w:val="BodyText"/>
      </w:pPr>
      <w:r>
        <w:t xml:space="preserve">下表右上单元格内嵌套了一张子表——表格块不支持单元格内嵌 table，由后处理写入（书签 slot-nested-table 标记目标单元格）。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68"/>
        <w:gridCol w:w="3969"/>
      </w:tblGrid>
      <w:tr>
        <w:trPr>
          <w:tblHeader/>
        </w:trPr>
        <w:tc>
          <w:tcPr>
            <w:vAlign w:val="center"/>
          </w:tcPr>
          <w:p>
            <w:pPr>
              <w:pStyle w:val="TableHeader"/>
            </w:pPr>
            <w:r>
              <w:t xml:space="preserve">外层单元格</w:t>
            </w:r>
          </w:p>
        </w:tc>
        <w:tc>
          <w:tcPr>
            <w:vAlign w:val="center"/>
          </w:tcPr>
          <w:tbl>
            <w:tblPr>
              <w:tblW w:w="0" w:type="auto"/>
              <w:tblBorders>
                <w:top w:val="single" w:sz="4" w:space="0" w:color="808080"/>
                <w:left w:val="single" w:sz="4" w:space="0" w:color="808080"/>
                <w:bottom w:val="single" w:sz="4" w:space="0" w:color="808080"/>
                <w:right w:val="single" w:sz="4" w:space="0" w:color="808080"/>
                <w:insideH w:val="single" w:sz="4" w:space="0" w:color="808080"/>
                <w:insideV w:val="single" w:sz="4" w:space="0" w:color="808080"/>
              </w:tblBorders>
            </w:tblPr>
            <w:tblGrid>
              <w:gridCol w:w="2600"/>
              <w:gridCol w:w="2600"/>
            </w:tblGrid>
            <w:tr>
              <w:tc>
                <w:tcPr>
                  <w:tcW w:w="2600" w:type="dxa"/>
                  <w:shd w:val="clear" w:color="auto" w:fill="FFF2CC"/>
                </w:tcPr>
                <w:p>
                  <w:r>
                    <w:t>子表 A</w:t>
                  </w:r>
                </w:p>
              </w:tc>
              <w:tc>
                <w:tcPr>
                  <w:tcW w:w="2600" w:type="dxa"/>
                </w:tcPr>
                <w:p>
                  <w:r>
                    <w:t>子表 B</w:t>
                  </w:r>
                </w:p>
              </w:tc>
            </w:tr>
            <w:tr>
              <w:tc>
                <w:tcPr>
                  <w:tcW w:w="2600" w:type="dxa"/>
                </w:tcPr>
                <w:p>
                  <w:r>
                    <w:t>子表 C</w:t>
                  </w:r>
                </w:p>
              </w:tc>
              <w:tc>
                <w:tcPr>
                  <w:tcW w:w="2600" w:type="dxa"/>
                  <w:shd w:val="clear" w:color="auto" w:fill="E2EFDA"/>
                </w:tcPr>
                <w:p>
                  <w:r>
                    <w:t>子表 D</w:t>
                  </w:r>
                </w:p>
              </w:tc>
            </w:tr>
          </w:tbl>
          <w:p>
            <w:pPr>
              <w:pStyle w:val="TableHeader"/>
            </w:pPr>
            <w:r>
              <w:t xml:space="preserve">内层应含子表</w:t>
            </w:r>
          </w:p>
        </w:tc>
      </w:tr>
      <w:tr>
        <w:tc>
          <w:tcPr>
            <w:vAlign w:val="center"/>
          </w:tcPr>
          <w:p>
            <w:r>
              <w:t xml:space="preserve">嵌套演示</w:t>
            </w:r>
          </w:p>
        </w:tc>
        <w:tc>
          <w:tcPr>
            <w:vAlign w:val="center"/>
          </w:tcPr>
          <w:p>
            <w:r>
              <w:t xml:space="preserve">（后处理插入子表）</w:t>
            </w:r>
          </w:p>
        </w:tc>
      </w:tr>
    </w:tbl>
    <w:p>
      <w:pPr>
        <w:pStyle w:val="Heading2"/>
      </w:pPr>
      <w:r>
        <w:t xml:space="preserve">单元格文字方向与边距</w:t>
      </w:r>
    </w:p>
    <w:p>
      <w:pPr>
        <w:pStyle w:val="BodyText"/>
      </w:pPr>
      <w:r>
        <w:t xml:space="preserve">下表左侧单元格的文字为纵向排列（tcPr 的 textDirection = btLr），由后处理写入。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1247"/>
        <w:gridCol w:w="2268"/>
        <w:gridCol w:w="2268"/>
      </w:tblGrid>
      <w:tr>
        <w:tc>
          <w:tcPr>
            <w:shd w:val="clear" w:color="auto" w:fill="DEEAF6"/>
            <w:textDirection w:val="btLr"/>
            <w:vAlign w:val="center"/>
          </w:tcPr>
          <w:p>
            <w:r>
              <w:t xml:space="preserve">纵向文字</w:t>
            </w:r>
          </w:p>
        </w:tc>
        <w:tc>
          <w:tcPr>
            <w:vAlign w:val="center"/>
          </w:tcPr>
          <w:p>
            <w:r>
              <w:t xml:space="preserve">横向文字</w:t>
            </w:r>
          </w:p>
        </w:tc>
        <w:tc>
          <w:tcPr>
            <w:vAlign w:val="center"/>
          </w:tcPr>
          <w:p>
            <w:r>
              <w:t xml:space="preserve">单元格边距 4pt</w:t>
            </w:r>
          </w:p>
        </w:tc>
      </w:tr>
      <w:tr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</w:tr>
    </w:tbl>
    <w:p>
      <w:pPr>
        <w:pStyle w:val="Heading2"/>
      </w:pPr>
      <w:r>
        <w:t xml:space="preserve">表格公式计算</w:t>
      </w:r>
    </w:p>
    <w:p>
      <w:pPr>
        <w:pStyle w:val="BodyText"/>
      </w:pPr>
      <w:r>
        <w:t xml:space="preserve">下表合计行的金额由 =SUM(ABOVE) 域计算，由后处理写入域代码，在 Word 中按 F9 更新结果。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68"/>
        <w:gridCol w:w="2268"/>
      </w:tblGrid>
      <w:tr>
        <w:trPr>
          <w:tblHeader/>
        </w:trPr>
        <w:tc>
          <w:tcPr>
            <w:vAlign w:val="center"/>
          </w:tcPr>
          <w:p>
            <w:pPr>
              <w:pStyle w:val="TableHeader"/>
            </w:pPr>
            <w:r>
              <w:t xml:space="preserve">费用项目</w:t>
            </w:r>
          </w:p>
        </w:tc>
        <w:tc>
          <w:tcPr>
            <w:vAlign w:val="center"/>
          </w:tcPr>
          <w:p>
            <w:pPr>
              <w:pStyle w:val="TableHeader"/>
            </w:pPr>
            <w:r>
              <w:t xml:space="preserve">金额（元）</w:t>
            </w:r>
          </w:p>
        </w:tc>
      </w:tr>
      <w:tr>
        <w:tc>
          <w:tcPr>
            <w:vAlign w:val="center"/>
          </w:tcPr>
          <w:p>
            <w:r>
              <w:t xml:space="preserve">办公费</w:t>
            </w:r>
          </w:p>
        </w:tc>
        <w:tc>
          <w:tcPr>
            <w:vAlign w:val="center"/>
          </w:tcPr>
          <w:p>
            <w:r>
              <w:t xml:space="preserve">1200</w:t>
            </w:r>
          </w:p>
        </w:tc>
      </w:tr>
      <w:tr>
        <w:tc>
          <w:tcPr>
            <w:vAlign w:val="center"/>
          </w:tcPr>
          <w:p>
            <w:r>
              <w:t xml:space="preserve">差旅费</w:t>
            </w:r>
          </w:p>
        </w:tc>
        <w:tc>
          <w:tcPr>
            <w:vAlign w:val="center"/>
          </w:tcPr>
          <w:p>
            <w:r>
              <w:t xml:space="preserve">800</w:t>
            </w:r>
          </w:p>
        </w:tc>
      </w:tr>
      <w:tr>
        <w:tc>
          <w:tcPr>
            <w:vAlign w:val="center"/>
          </w:tcPr>
          <w:p>
            <w:r>
              <w:t xml:space="preserve">会议费</w:t>
            </w:r>
          </w:p>
        </w:tc>
        <w:tc>
          <w:tcPr>
            <w:vAlign w:val="center"/>
          </w:tcPr>
          <w:p>
            <w:r>
              <w:t xml:space="preserve">650</w:t>
            </w:r>
          </w:p>
        </w:tc>
      </w:tr>
      <w:tr>
        <w:tc>
          <w:tcPr>
            <w:vAlign w:val="center"/>
          </w:tcPr>
          <w:p>
            <w:r>
              <w:t xml:space="preserve">合计</w:t>
            </w:r>
          </w:p>
        </w:tc>
        <w:tc>
          <w:tcPr>
            <w:vAlign w:val="center"/>
          </w:tcPr>
          <w:p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t>2650</w:t>
            </w:r>
            <w:r>
              <w:fldChar w:fldCharType="end"/>
            </w:r>
          </w:p>
        </w:tc>
      </w:tr>
    </w:tbl>
    <w:p>
      <w:pPr>
        <w:pStyle w:val="Heading2"/>
      </w:pPr>
      <w:r>
        <w:t xml:space="preserve">表格排序</w:t>
      </w:r>
    </w:p>
    <w:p>
      <w:pPr>
        <w:pStyle w:val="BodyText"/>
      </w:pPr>
      <w:r>
        <w:t xml:space="preserve">表格排序无法实现：OOXML 中没有存储排序规则的位置，排序是 Word 编辑期的交互行为，文档本身无法表达“打开时自动按某列排序”。需要排序结果时，只能由引擎按值预先重排数据行再写入。</w:t>
      </w:r>
    </w:p>
    <w:p>
      <w:r>
        <w:br w:type="page"/>
      </w:r>
    </w:p>
    <w:p>
      <w:pPr>
        <w:pStyle w:val="Heading1"/>
      </w:pPr>
      <w:r>
        <w:t xml:space="preserve">样式、模板与元数据</w:t>
      </w:r>
    </w:p>
    <w:p>
      <w:pPr>
        <w:pStyle w:val="_HiddenChapterCounter"/>
        <w:rPr>
          <w:vanish/>
        </w:rPr>
      </w:pPr>
      <w:r>
        <w:rPr>
          <w:vanish/>
        </w:rPr>
        <w:fldChar w:fldCharType="begin"/>
      </w:r>
      <w:r>
        <w:rPr>
          <w:vanish/>
        </w:rPr>
        <w:instrText xml:space="preserve"> SEQ _chap_Heading1 \* ARABIC </w:instrText>
      </w:r>
      <w:r>
        <w:rPr>
          <w:vanish/>
        </w:rPr>
        <w:fldChar w:fldCharType="separate"/>
      </w:r>
      <w:r>
        <w:rPr>
          <w:vanish/>
        </w:rPr>
        <w:t xml:space="preserve"/>
      </w:r>
      <w:r>
        <w:rPr>
          <w:vanish/>
        </w:rPr>
        <w:fldChar w:fldCharType="end"/>
      </w:r>
    </w:p>
    <w:p>
      <w:pPr>
        <w:pStyle w:val="BodyText"/>
      </w:pPr>
      <w:r>
        <w:t xml:space="preserve">本章说明样式体系、模板保存、书签、文档属性、内容控件与构建基块的支持情况。</w:t>
      </w:r>
    </w:p>
    <w:p>
      <w:pPr>
        <w:pStyle w:val="Heading2"/>
      </w:pPr>
      <w:r>
        <w:t xml:space="preserve">样式集、主题与自定义样式</w:t>
      </w:r>
    </w:p>
    <w:p>
      <w:pPr>
        <w:pStyle w:val="BodyText"/>
      </w:pPr>
      <w:r>
        <w:t xml:space="preserve">本文共定义 21 个样式，构成以 Normal 为根的继承链：TableHeader 继承 TableText，TableText 与 BodyText 继承 Normal；主题层（theme.fonts）统一切换中西文字体。改一处根样式，全篇联动。</w:t>
      </w:r>
    </w:p>
    <w:p>
      <w:pPr>
        <w:pStyle w:val="BodyText"/>
      </w:pPr>
      <w:r>
        <w:t xml:space="preserve">样式集（Style Set）是 Word 的一组预设外观切换，属于 UI 层概念，文档内不落盘；引擎能做的是定义并绑定样式，等价于自定义样式集。</w:t>
      </w:r>
    </w:p>
    <w:p>
      <w:pPr>
        <w:pStyle w:val="Heading2"/>
      </w:pPr>
      <w:r>
        <w:t xml:space="preserve">书签与内部跳转</w:t>
      </w:r>
    </w:p>
    <w:p>
      <w:pPr>
        <w:pStyle w:val="BodyText"/>
      </w:pPr>
      <w:r>
        <w:t xml:space="preserve">本文在题注、参考文献等位置写入了书签，点击书签可内部跳转；书签同时是交叉引用的寻址基础。</w:t>
      </w:r>
    </w:p>
    <w:p>
      <w:pPr>
        <w:pStyle w:val="Heading2"/>
      </w:pPr>
      <w:r>
        <w:t xml:space="preserve">模板保存与调用（dotx）</w:t>
      </w:r>
    </w:p>
    <w:p>
      <w:pPr>
        <w:pStyle w:val="BodyText"/>
      </w:pPr>
      <w:r>
        <w:t xml:space="preserve">把本文另存为 dotx 模板（后处理阶段改主部件 content type 为 template 并改扩展名），即可作为样式与构建基块的分发载体；调用模板即复用本文的 21 个样式与主题。</w:t>
      </w:r>
    </w:p>
    <w:p>
      <w:pPr>
        <w:pStyle w:val="Heading2"/>
      </w:pPr>
      <w:r>
        <w:t xml:space="preserve">文档属性与元信息</w:t>
      </w:r>
    </w:p>
    <w:p>
      <w:pPr>
        <w:pStyle w:val="BodyText"/>
      </w:pPr>
      <w:r>
        <w:t xml:space="preserve">内置属性（标题、作者、主题、创建时间）与自定义属性（docProps/custom.xml，例如项目代号、密级）由后处理写入——引擎不提供属性入口。</w:t>
      </w:r>
    </w:p>
    <w:p>
      <w:pPr>
        <w:pStyle w:val="Heading2"/>
      </w:pPr>
      <w:r>
        <w:t xml:space="preserve">内容控件（结构化文档标签 SDT）</w:t>
      </w:r>
      <w:r>
        <w:rPr>
          <w:vanish/>
        </w:rPr>
        <w:fldChar w:fldCharType="begin"/>
      </w:r>
      <w:r>
        <w:rPr>
          <w:vanish/>
        </w:rPr>
        <w:instrText xml:space="preserve"> XE "内容控件" </w:instrText>
      </w:r>
      <w:r>
        <w:rPr>
          <w:vanish/>
        </w:rPr>
        <w:fldChar w:fldCharType="end"/>
      </w:r>
    </w:p>
    <w:p>
      <w:pPr>
        <w:pStyle w:val="BodyText"/>
      </w:pPr>
      <w:r>
        <w:t xml:space="preserve">本行下方应出现两个内容控件：一个纯文本控件与一个下拉列表控件（后处理插入 w:sdt）。注意：SDT 是引擎编辑阶段的阻断项，含 SDT 的段落不能再被 apply 编辑。</w:t>
      </w:r>
    </w:p>
    <w:sdt>
      <w:sdtPr>
        <w:alias w:val="项目名称"/>
        <w:tag w:val="demo-project"/>
        <w:text/>
      </w:sdtPr>
      <w:sdtContent>
        <w:p>
          <w:pPr>
            <w:pStyle w:val="BodyText"/>
          </w:pPr>
          <w:r>
            <w:t>（内容控件：纯文本，可点击此处输入）</w:t>
          </w:r>
        </w:p>
      </w:sdtContent>
    </w:sdt>
    <w:sdt>
      <w:sdtPr>
        <w:alias w:val="密级"/>
        <w:tag w:val="demo-level"/>
        <w:dropDownList>
          <w:listItem w:displayText="公开" w:value="public"/>
          <w:listItem w:displayText="内部" w:value="internal"/>
          <w:listItem w:displayText="秘密" w:value="secret"/>
        </w:dropDownList>
      </w:sdtPr>
      <w:sdtContent>
        <w:p>
          <w:pPr>
            <w:pStyle w:val="BodyText"/>
          </w:pPr>
          <w:r>
            <w:t>内部</w:t>
          </w:r>
        </w:p>
      </w:sdtContent>
    </w:sdt>
    <w:p>
      <w:pPr>
        <w:pStyle w:val="Heading2"/>
      </w:pPr>
      <w:r>
        <w:t xml:space="preserve">ActiveX 控件</w:t>
      </w:r>
    </w:p>
    <w:p>
      <w:pPr>
        <w:pStyle w:val="BodyText"/>
      </w:pPr>
      <w:r>
        <w:t xml:space="preserve">ActiveX 控件不支持：它需要二进制控件部件、注册表项与宿主安全设置，且 Word 桌面端之外不可用，无法在纯 OOXML 文档中安全表达。替代方案是内容控件或窗体域。</w:t>
      </w:r>
    </w:p>
    <w:p>
      <w:pPr>
        <w:pStyle w:val="Heading2"/>
      </w:pPr>
      <w:r>
        <w:t xml:space="preserve">自动图文集与构建基块</w:t>
      </w:r>
    </w:p>
    <w:p>
      <w:pPr>
        <w:pStyle w:val="BodyText"/>
      </w:pPr>
      <w:r>
        <w:t xml:space="preserve">构建基块库存储在模板内部的 glossary 部件（word/glossary/document.xml）中。后处理会写入一个最小 glossary 部件并登记其关系与 content type；自动图文集则是 Word 的旧版兼容入口，落点相同。</w:t>
      </w:r>
    </w:p>
    <w:p>
      <w:pPr>
        <w:pStyle w:val="Heading1"/>
      </w:pPr>
      <w:r>
        <w:t xml:space="preserve">插入元素</w:t>
      </w:r>
    </w:p>
    <w:p>
      <w:pPr>
        <w:pStyle w:val="_HiddenChapterCounter"/>
        <w:rPr>
          <w:vanish/>
        </w:rPr>
      </w:pPr>
      <w:r>
        <w:rPr>
          <w:vanish/>
        </w:rPr>
        <w:fldChar w:fldCharType="begin"/>
      </w:r>
      <w:r>
        <w:rPr>
          <w:vanish/>
        </w:rPr>
        <w:instrText xml:space="preserve"> SEQ _chap_Heading1 \* ARABIC </w:instrText>
      </w:r>
      <w:r>
        <w:rPr>
          <w:vanish/>
        </w:rPr>
        <w:fldChar w:fldCharType="separate"/>
      </w:r>
      <w:r>
        <w:rPr>
          <w:vanish/>
        </w:rPr>
        <w:t xml:space="preserve"/>
      </w:r>
      <w:r>
        <w:rPr>
          <w:vanish/>
        </w:rPr>
        <w:fldChar w:fldCharType="end"/>
      </w:r>
    </w:p>
    <w:p>
      <w:pPr>
        <w:pStyle w:val="Heading2"/>
      </w:pPr>
      <w:r>
        <w:t xml:space="preserve">Office 公式（OMath）</w:t>
      </w:r>
      <w:r>
        <w:rPr>
          <w:vanish/>
        </w:rPr>
        <w:fldChar w:fldCharType="begin"/>
      </w:r>
      <w:r>
        <w:rPr>
          <w:vanish/>
        </w:rPr>
        <w:instrText xml:space="preserve"> XE "公式" </w:instrText>
      </w:r>
      <w:r>
        <w:rPr>
          <w:vanish/>
        </w:rPr>
        <w:fldChar w:fldCharType="end"/>
      </w:r>
    </w:p>
    <w:p>
      <w:pPr>
        <w:pStyle w:val="BodyText"/>
      </w:pPr>
      <w:r>
        <w:t xml:space="preserve">引擎把 LaTeX 编译成原生 OMML（Office Math Markup Language）写进文档，落地为一个可点击、可继续编辑的“公式”对象，而不是一张图。公式字号随文档样式联动，在大纲、朗读、高对比模式下都能被正确识别。</w:t>
      </w:r>
    </w:p>
    <w:p>
      <w:pPr>
        <w:pStyle w:val="BodyText"/>
      </w:pPr>
      <w:r>
        <w:t xml:space="preserve">行内公式直接嵌在句子里：设圆半径为 </w:t>
      </w:r>
      <m:oMath xmlns:m="http://schemas.openxmlformats.org/officeDocument/2006/math">
        <m:r>
          <w:rPr xmlns:w="http://schemas.openxmlformats.org/wordprocessingml/2006/main">
            <w:rFonts w:ascii="Cambria Math" w:eastAsia="Cambria Math" w:hAnsi="Cambria Math" w:cs="Cambria Math"/>
          </w:rPr>
          <m:t>r</m:t>
        </m:r>
      </m:oMath>
      <w:r>
        <w:t xml:space="preserve">，则圆面积 </w:t>
      </w:r>
      <m:oMath xmlns:m="http://schemas.openxmlformats.org/officeDocument/2006/math">
        <m:r>
          <w:rPr xmlns:w="http://schemas.openxmlformats.org/wordprocessingml/2006/main">
            <w:rFonts w:ascii="Cambria Math" w:eastAsia="Cambria Math" w:hAnsi="Cambria Math" w:cs="Cambria Math"/>
          </w:rPr>
          <m:t>S</m:t>
        </m:r>
        <m:r>
          <w:rPr xmlns:w="http://schemas.openxmlformats.org/wordprocessingml/2006/main">
            <w:rFonts w:ascii="Cambria Math" w:eastAsia="Cambria Math" w:hAnsi="Cambria Math" w:cs="Cambria Math"/>
          </w:rPr>
          <m:t>=</m:t>
        </m:r>
        <m:r>
          <w:rPr xmlns:w="http://schemas.openxmlformats.org/wordprocessingml/2006/main">
            <w:rFonts w:ascii="Cambria Math" w:eastAsia="Cambria Math" w:hAnsi="Cambria Math" w:cs="Cambria Math"/>
          </w:rPr>
          <m:t>π</m:t>
        </m:r>
        <m:sSup>
          <m:e>
            <m:r>
              <w:rPr xmlns:w="http://schemas.openxmlformats.org/wordprocessingml/2006/main">
                <w:rFonts w:ascii="Cambria Math" w:eastAsia="Cambria Math" w:hAnsi="Cambria Math" w:cs="Cambria Math"/>
              </w:rPr>
              <m:t>r</m:t>
            </m:r>
          </m:e>
          <m:sup>
            <m:r>
              <w:rPr xmlns:w="http://schemas.openxmlformats.org/wordprocessingml/2006/main">
                <w:rFonts w:ascii="Cambria Math" w:eastAsia="Cambria Math" w:hAnsi="Cambria Math" w:cs="Cambria Math"/>
              </w:rPr>
              <m:t>2</m:t>
            </m:r>
          </m:sup>
        </m:sSup>
      </m:oMath>
      <w:r>
        <w:t xml:space="preserve">，整个过程不引入任何图片资源。</w:t>
      </w:r>
    </w:p>
    <w:tbl>
      <w:tblPr>
        <w:tblW w:w="8306" w:type="dxa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Layout w:type="fixed"/>
      </w:tblPr>
      <w:tblGrid>
        <w:gridCol w:w="850"/>
        <w:gridCol w:w="5956"/>
        <w:gridCol w:w="1500"/>
      </w:tblGrid>
      <w:tr>
        <w:tc>
          <w:tcPr>
            <w:tcW w:w="850" w:type="dxa"/>
          </w:tcPr>
          <w:p/>
        </w:tc>
        <w:tc>
          <w:tcPr>
            <w:tcW w:w="5956" w:type="dxa"/>
          </w:tcPr>
          <w:p>
            <w:pPr>
              <w:pStyle w:val="Equation"/>
            </w:pPr>
            <m:oMathPara xmlns:m="http://schemas.openxmlformats.org/officeDocument/2006/math">
              <m:oMath xmlns:m="http://schemas.openxmlformats.org/officeDocument/2006/math">
                <m:r>
                  <w:rPr xmlns:w="http://schemas.openxmlformats.org/wordprocessingml/2006/main">
                    <w:rFonts w:ascii="Cambria Math" w:eastAsia="Cambria Math" w:hAnsi="Cambria Math" w:cs="Cambria Math"/>
                  </w:rPr>
                  <m:t>S</m:t>
                </m:r>
                <m:r>
                  <w:rPr xmlns:w="http://schemas.openxmlformats.org/wordprocessingml/2006/main">
                    <w:rFonts w:ascii="Cambria Math" w:eastAsia="Cambria Math" w:hAnsi="Cambria Math" w:cs="Cambria Math"/>
                  </w:rPr>
                  <m:t>=</m:t>
                </m:r>
                <m:r>
                  <w:rPr xmlns:w="http://schemas.openxmlformats.org/wordprocessingml/2006/main">
                    <w:rFonts w:ascii="Cambria Math" w:eastAsia="Cambria Math" w:hAnsi="Cambria Math" w:cs="Cambria Math"/>
                  </w:rPr>
                  <m:t>π</m:t>
                </m:r>
                <m:sSup>
                  <m:e>
                    <m:r>
                      <w:rPr xmlns:w="http://schemas.openxmlformats.org/wordprocessingml/2006/main">
                        <w:rFonts w:ascii="Cambria Math" w:eastAsia="Cambria Math" w:hAnsi="Cambria Math" w:cs="Cambria Math"/>
                      </w:rPr>
                      <m:t>r</m:t>
                    </m:r>
                  </m:e>
                  <m:sup>
                    <m:r>
                      <w:rPr xmlns:w="http://schemas.openxmlformats.org/wordprocessingml/2006/main">
                        <w:rFonts w:ascii="Cambria Math" w:eastAsia="Cambria Math" w:hAnsi="Cambria Math" w:cs="Cambria Math"/>
                      </w:rPr>
                      <m:t>2</m:t>
                    </m:r>
                  </m:sup>
                </m:sSup>
                <m:r>
                  <w:rPr xmlns:w="http://schemas.openxmlformats.org/wordprocessingml/2006/main">
                    <w:rFonts w:ascii="Cambria Math" w:eastAsia="Cambria Math" w:hAnsi="Cambria Math" w:cs="Cambria Math"/>
                  </w:rPr>
                  <m:t>=</m:t>
                </m:r>
                <m:nary>
                  <m:naryPr>
                    <m:chr m:val="∫"/>
                    <m:limLoc m:val="subSup"/>
                  </m:naryPr>
                  <m:sub>
                    <m:r>
                      <w:rPr xmlns:w="http://schemas.openxmlformats.org/wordprocessingml/2006/main">
                        <w:rFonts w:ascii="Cambria Math" w:eastAsia="Cambria Math" w:hAnsi="Cambria Math" w:cs="Cambria Math"/>
                      </w:rPr>
                      <m:t>0</m:t>
                    </m:r>
                  </m:sub>
                  <m:sup>
                    <m:r>
                      <w:rPr xmlns:w="http://schemas.openxmlformats.org/wordprocessingml/2006/main">
                        <w:rFonts w:ascii="Cambria Math" w:eastAsia="Cambria Math" w:hAnsi="Cambria Math" w:cs="Cambria Math"/>
                      </w:rPr>
                      <m:t>2</m:t>
                    </m:r>
                    <m:r>
                      <w:rPr xmlns:w="http://schemas.openxmlformats.org/wordprocessingml/2006/main">
                        <w:rFonts w:ascii="Cambria Math" w:eastAsia="Cambria Math" w:hAnsi="Cambria Math" w:cs="Cambria Math"/>
                      </w:rPr>
                      <m:t>π</m:t>
                    </m:r>
                  </m:sup>
                  <m:e>
                    <m:nary>
                      <m:naryPr>
                        <m:chr m:val="∫"/>
                        <m:limLoc m:val="subSup"/>
                      </m:naryPr>
                      <m:sub>
                        <m:r>
                          <w:rPr xmlns:w="http://schemas.openxmlformats.org/wordprocessingml/2006/main">
                            <w:rFonts w:ascii="Cambria Math" w:eastAsia="Cambria Math" w:hAnsi="Cambria Math" w:cs="Cambria Math"/>
                          </w:rPr>
                          <m:t>0</m:t>
                        </m:r>
                      </m:sub>
                      <m:sup>
                        <m:r>
                          <w:rPr xmlns:w="http://schemas.openxmlformats.org/wordprocessingml/2006/main">
                            <w:rFonts w:ascii="Cambria Math" w:eastAsia="Cambria Math" w:hAnsi="Cambria Math" w:cs="Cambria Math"/>
                          </w:rPr>
                          <m:t>r</m:t>
                        </m:r>
                      </m:sup>
                      <m:e>
                        <m:r>
                          <w:rPr xmlns:w="http://schemas.openxmlformats.org/wordprocessingml/2006/main">
                            <w:rFonts w:ascii="Cambria Math" w:eastAsia="Cambria Math" w:hAnsi="Cambria Math" w:cs="Cambria Math"/>
                          </w:rPr>
                          <m:t>ρ</m:t>
                        </m:r>
                        <m:r>
                          <w:rPr xmlns:w="http://schemas.openxmlformats.org/wordprocessingml/2006/main">
                            <w:rFonts w:ascii="Cambria Math" w:eastAsia="Cambria Math" w:hAnsi="Cambria Math" w:cs="Cambria Math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 xmlns:w="http://schemas.openxmlformats.org/wordprocessingml/2006/main">
                            <w:rFonts w:ascii="Cambria Math" w:eastAsia="Cambria Math" w:hAnsi="Cambria Math" w:cs="Cambria Math"/>
                          </w:rPr>
                          <m:t>d</m:t>
                        </m:r>
                        <m:r>
                          <w:rPr xmlns:w="http://schemas.openxmlformats.org/wordprocessingml/2006/main">
                            <w:rFonts w:ascii="Cambria Math" w:eastAsia="Cambria Math" w:hAnsi="Cambria Math" w:cs="Cambria Math"/>
                          </w:rPr>
                          <m:t xml:space="preserve"> </m:t>
                        </m:r>
                        <m:r>
                          <w:rPr xmlns:w="http://schemas.openxmlformats.org/wordprocessingml/2006/main">
                            <w:rFonts w:ascii="Cambria Math" w:eastAsia="Cambria Math" w:hAnsi="Cambria Math" w:cs="Cambria Math"/>
                          </w:rPr>
                          <m:t>ρ</m:t>
                        </m:r>
                        <m:r>
                          <w:rPr xmlns:w="http://schemas.openxmlformats.org/wordprocessingml/2006/main">
                            <w:rFonts w:ascii="Cambria Math" w:eastAsia="Cambria Math" w:hAnsi="Cambria Math" w:cs="Cambria Math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 xmlns:w="http://schemas.openxmlformats.org/wordprocessingml/2006/main">
                            <w:rFonts w:ascii="Cambria Math" w:eastAsia="Cambria Math" w:hAnsi="Cambria Math" w:cs="Cambria Math"/>
                          </w:rPr>
                          <m:t>d</m:t>
                        </m:r>
                        <m:r>
                          <w:rPr xmlns:w="http://schemas.openxmlformats.org/wordprocessingml/2006/main">
                            <w:rFonts w:ascii="Cambria Math" w:eastAsia="Cambria Math" w:hAnsi="Cambria Math" w:cs="Cambria Math"/>
                          </w:rPr>
                          <m:t xml:space="preserve"> </m:t>
                        </m:r>
                        <m:r>
                          <w:rPr xmlns:w="http://schemas.openxmlformats.org/wordprocessingml/2006/main">
                            <w:rFonts w:ascii="Cambria Math" w:eastAsia="Cambria Math" w:hAnsi="Cambria Math" w:cs="Cambria Math"/>
                          </w:rPr>
                          <m:t>θ</m:t>
                        </m:r>
                      </m:e>
                    </m:nary>
                  </m:e>
                </m:nary>
              </m:oMath>
            </m:oMathPara>
          </w:p>
        </w:tc>
        <w:tc>
          <w:tcPr>
            <w:tcW w:w="1500" w:type="dxa"/>
          </w:tcPr>
          <w:p>
            <w:pPr>
              <w:pStyle w:val="EquationCaption"/>
            </w:pPr>
            <w:bookmarkStart w:id="17" w:name="eq-omath"/>
            <w:r>
              <w:t xml:space="preserve">(</w:t>
            </w:r>
            <w:r>
              <w:fldChar w:fldCharType="begin"/>
            </w:r>
            <w:r>
              <w:instrText xml:space="preserve"> SEQ _chap_Heading1 \* ARABIC \c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  <w:r>
              <w:t xml:space="preserve">.</w:t>
            </w:r>
            <w:r>
              <w:fldChar w:fldCharType="begin"/>
            </w:r>
            <w:r>
              <w:instrText xml:space="preserve"> SEQ Equation \* ARABIC \s 1 </w:instrText>
            </w:r>
            <w:r>
              <w:fldChar w:fldCharType="separate"/>
            </w:r>
            <w:r>
              <w:t xml:space="preserve">1</w:t>
            </w:r>
            <w:r>
              <w:fldChar w:fldCharType="end"/>
            </w:r>
            <w:r>
              <w:t xml:space="preserve">)</w:t>
            </w:r>
            <w:bookmarkEnd w:id="17"/>
          </w:p>
        </w:tc>
      </w:tr>
    </w:tbl>
    <w:p>
      <w:pPr>
        <w:pStyle w:val="BodyText"/>
      </w:pPr>
      <w:r>
        <w:t xml:space="preserve">上式是独立公式，通过 captionId 走三栏排版（编号在左、公式居中、右侧留白），编号由 SEQ 域生成，不是手写文本。</w:t>
      </w:r>
    </w:p>
    <w:p>
      <w:pPr>
        <w:pStyle w:val="BodyText"/>
      </w:pPr>
      <w:r>
        <w:t xml:space="preserve">引用时必须走 REF 域：见 </w:t>
      </w:r>
      <w:r>
        <w:fldChar w:fldCharType="begin"/>
      </w:r>
      <w:r>
        <w:instrText xml:space="preserve"> REF eq-omath \h </w:instrText>
      </w:r>
      <w:r>
        <w:fldChar w:fldCharType="separate"/>
      </w:r>
      <w:r>
        <w:t xml:space="preserve">(6.1)</w:t>
      </w:r>
      <w:r>
        <w:fldChar w:fldCharType="end"/>
      </w:r>
      <w:r>
        <w:t xml:space="preserve">，公式增删时编号会自动重排。</w:t>
      </w:r>
    </w:p>
    <w:p>
      <w:pPr>
        <w:pStyle w:val="Heading2"/>
      </w:pPr>
      <w:r>
        <w:t xml:space="preserve">形状、线条与绘图画布</w:t>
      </w:r>
    </w:p>
    <w:p>
      <w:pPr>
        <w:pStyle w:val="BodyText"/>
      </w:pPr>
      <w:r>
        <w:t xml:space="preserve">形状用 DrawingML 的 wps 命名空间（文字处理形状），直线与连接线用同一族的连接线元素，画布用 wpc 图形框架。三者的共同点是：都不是图片。选中后可以改填充、改轮廓、拖控制点，文档体积比等价位图小一个数量级，缩放不失真。</w:t>
      </w:r>
    </w:p>
    <w:p>
      <w:pPr>
        <w:pStyle w:val="BodyText"/>
      </w:pPr>
      <w:bookmarkStart w:id="18" w:name="slot-shapes"/>
      <w:r>
        <w:t xml:space="preserve">下面三个是内联形状（圆角矩形 / 平行四边形 / 椭圆），它们是矢量对象，选中后可改填充、轮廓与控制点：</w:t>
      </w:r>
      <w:bookmarkEnd w:id="18"/>
    </w:p>
    <w:p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c="http://schemas.microsoft.com/office/word/2010/wordprocessingCanvas" xmlns:mc="http://schemas.openxmlformats.org/markup-compatibility/2006" xmlns:v="urn:schemas-microsoft-com:vml" xmlns:o="urn:schemas-microsoft-com:office:office" xmlns:w10="urn:schemas-microsoft-com:office:word">
      <w:pPr>
        <w:jc w:val="center"/>
      </w:pPr>
      <w:r>
        <w:drawing>
          <wp:inline distT="0" distB="0" distL="0" distR="0">
            <wp:extent cx="1224000" cy="540000"/>
            <wp:effectExtent l="0" t="0" r="0" b="0"/>
            <wp:docPr id="1001" name="形状-圆角矩形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24000" cy="540000"/>
                    </a:xfrm>
                    <a:prstGeom prst="roundRect">
                      <a:avLst/>
                    </a:prstGeom>
                    <a:solidFill>
                      <a:srgbClr val="E8F0FE"/>
                    </a:solidFill>
                    <a:ln w="12700">
                      <a:solidFill>
                        <a:srgbClr val="4A6FA5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ascii="微软雅黑" w:hAnsi="微软雅黑" w:eastAsia="微软雅黑"/>
                            <w:color w:val="1F3A5F"/>
                            <w:sz w:val="18"/>
                            <w:szCs w:val="18"/>
                          </w:rPr>
                          <w:t>圆角矩形</w:t>
                        </w:r>
                      </w:p>
                    </w:txbxContent>
                  </wps:txbx>
                  <wps:bodyPr rot="0" wrap="square" lIns="45720" tIns="45720" rIns="45720" bIns="45720" anchor="ctr" anchorCtr="0">
                    <a:noAutofit/>
                  </wps:bodyPr>
                </wps:wsp>
              </a:graphicData>
            </a:graphic>
          </wp:inline>
        </w:drawing>
      </w:r>
      <w:r>
        <w:drawing>
          <wp:inline distT="0" distB="0" distL="0" distR="0">
            <wp:extent cx="1224000" cy="540000"/>
            <wp:effectExtent l="0" t="0" r="0" b="0"/>
            <wp:docPr id="1002" name="形状-平行四边形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24000" cy="540000"/>
                    </a:xfrm>
                    <a:prstGeom prst="parallelogram">
                      <a:avLst/>
                    </a:prstGeom>
                    <a:solidFill>
                      <a:srgbClr val="FFF2CC"/>
                    </a:solidFill>
                    <a:ln w="12700">
                      <a:solidFill>
                        <a:srgbClr val="4A6FA5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ascii="微软雅黑" w:hAnsi="微软雅黑" w:eastAsia="微软雅黑"/>
                            <w:color w:val="1F3A5F"/>
                            <w:sz w:val="18"/>
                            <w:szCs w:val="18"/>
                          </w:rPr>
                          <w:t>平行四边形</w:t>
                        </w:r>
                      </w:p>
                    </w:txbxContent>
                  </wps:txbx>
                  <wps:bodyPr rot="0" wrap="square" lIns="45720" tIns="45720" rIns="45720" bIns="45720" anchor="ctr" anchorCtr="0">
                    <a:noAutofit/>
                  </wps:bodyPr>
                </wps:wsp>
              </a:graphicData>
            </a:graphic>
          </wp:inline>
        </w:drawing>
      </w:r>
      <w:r>
        <w:drawing>
          <wp:inline distT="0" distB="0" distL="0" distR="0">
            <wp:extent cx="1224000" cy="540000"/>
            <wp:effectExtent l="0" t="0" r="0" b="0"/>
            <wp:docPr id="1003" name="形状-椭圆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24000" cy="540000"/>
                    </a:xfrm>
                    <a:prstGeom prst="ellipse">
                      <a:avLst/>
                    </a:prstGeom>
                    <a:solidFill>
                      <a:srgbClr val="E2EFDA"/>
                    </a:solidFill>
                    <a:ln w="12700">
                      <a:solidFill>
                        <a:srgbClr val="4A6FA5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ascii="微软雅黑" w:hAnsi="微软雅黑" w:eastAsia="微软雅黑"/>
                            <w:color w:val="1F3A5F"/>
                            <w:sz w:val="18"/>
                            <w:szCs w:val="18"/>
                          </w:rPr>
                          <w:t>椭圆</w:t>
                        </w:r>
                      </w:p>
                    </w:txbxContent>
                  </wps:txbx>
                  <wps:bodyPr rot="0" wrap="square" lIns="45720" tIns="45720" rIns="45720" bIns="45720" anchor="ctr" anchorCtr="0">
                    <a:noAutofit/>
                  </wps:bodyPr>
                </wps:wsp>
              </a:graphicData>
            </a:graphic>
          </wp:inline>
        </w:drawing>
      </w:r>
    </w:p>
    <w:p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c="http://schemas.microsoft.com/office/word/2010/wordprocessingCanvas" xmlns:mc="http://schemas.openxmlformats.org/markup-compatibility/2006" xmlns:v="urn:schemas-microsoft-com:vml" xmlns:o="urn:schemas-microsoft-com:office:office" xmlns:w10="urn:schemas-microsoft-com:office:word">
      <w:pPr>
        <w:jc w:val="center"/>
      </w:pPr>
      <w:r>
        <w:drawing>
          <wp:inline distT="0" distB="0" distL="0" distR="0">
            <wp:extent cx="1655999" cy="216000"/>
            <wp:effectExtent l="0" t="0" r="0" b="0"/>
            <wp:docPr id="1004" name="线条-带箭头直线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655999" cy="216000"/>
                    </a:xfrm>
                    <a:prstGeom prst="straightConnector1">
                      <a:avLst/>
                    </a:prstGeom>
                    <a:ln w="19050">
                      <a:solidFill>
                        <a:srgbClr val="4A6FA5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inline>
        </w:drawing>
      </w:r>
      <w:r>
        <w:drawing>
          <wp:inline distT="0" distB="0" distL="0" distR="0">
            <wp:extent cx="1655999" cy="324000"/>
            <wp:effectExtent l="0" t="0" r="0" b="0"/>
            <wp:docPr id="1005" name="线条-反向箭头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flipV="1">
                      <a:off x="0" y="0"/>
                      <a:ext cx="1655999" cy="324000"/>
                    </a:xfrm>
                    <a:prstGeom prst="straightConnector1">
                      <a:avLst/>
                    </a:prstGeom>
                    <a:ln w="19050">
                      <a:solidFill>
                        <a:srgbClr val="4A6FA5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inline>
        </w:drawing>
      </w:r>
      <w:r>
        <w:drawing>
          <wp:inline distT="0" distB="0" distL="0" distR="0">
            <wp:extent cx="1655999" cy="432000"/>
            <wp:effectExtent l="0" t="0" r="0" b="0"/>
            <wp:docPr id="1006" name="线条-实线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1655999" cy="432000"/>
                    </a:xfrm>
                    <a:prstGeom prst="straightConnector1">
                      <a:avLst/>
                    </a:prstGeom>
                    <a:ln w="19050">
                      <a:solidFill>
                        <a:srgbClr val="4A6FA5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inline>
        </w:drawing>
      </w:r>
    </w:p>
    <w:p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c="http://schemas.microsoft.com/office/word/2010/wordprocessingCanvas" xmlns:mc="http://schemas.openxmlformats.org/markup-compatibility/2006" xmlns:v="urn:schemas-microsoft-com:vml" xmlns:o="urn:schemas-microsoft-com:office:office" xmlns:w10="urn:schemas-microsoft-com:office:word">
      <w:pPr>
        <w:jc w:val="center"/>
      </w:pPr>
      <w:r>
        <w:drawing>
          <wp:inline distT="0" distB="0" distL="0" distR="0">
            <wp:extent cx="5400000" cy="1512000"/>
            <wp:effectExtent l="0" t="0" r="0" b="0"/>
            <wp:docPr id="1008" name="绘图画布"/>
            <wp:cNvGraphicFramePr/>
            <a:graphic>
              <a:graphicData uri="http://schemas.microsoft.com/office/word/2010/wordprocessingCanvas">
                <wpc:wpc>
                  <wpc:cNvPr id="1007" name="绘图画布"/>
                  <wpc:cNvGrpSpPr/>
                  <wpc:grpSpPr>
                    <a:xfrm>
                      <a:off x="0" y="0"/>
                      <a:ext cx="5400000" cy="1512000"/>
                      <a:chOff x="0" y="0"/>
                      <a:chExt cx="5400000" cy="1512000"/>
                    </a:xfrm>
                  </wpc:grpSpPr>
                  <wps:wsp>
                    <wps:cNvSpPr/>
                    <wps:spPr>
                      <a:xfrm>
                        <a:off x="0" y="0"/>
                        <a:ext cx="1080000" cy="720000"/>
                      </a:xfrm>
                      <a:prstGeom prst="roundRect">
                        <a:avLst/>
                      </a:prstGeom>
                      <a:solidFill>
                        <a:srgbClr val="DCE9F9"/>
                      </a:solidFill>
                      <a:ln w="12700">
                        <a:solidFill>
                          <a:srgbClr val="4A6FA5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ascii="微软雅黑" w:hAnsi="微软雅黑" w:eastAsia="微软雅黑"/>
                              <w:color w:val="1F3A5F"/>
                              <w:sz w:val="18"/>
                              <w:szCs w:val="18"/>
                            </w:rPr>
                            <w:t>画布·节点一</w:t>
                          </w:r>
                        </w:p>
                      </w:txbxContent>
                    </wps:txbx>
                    <wps:bodyPr rot="0" lIns="45720" tIns="45720" rIns="45720" bIns="45720" anchor="ctr">
                      <a:noAutofit/>
                    </wps:bodyPr>
                  </wps:wsp>
                  <wps:wsp>
                    <wps:cNvSpPr/>
                    <wps:spPr>
                      <a:xfrm>
                        <a:off x="2160000" y="0"/>
                        <a:ext cx="1080000" cy="720000"/>
                      </a:xfrm>
                      <a:prstGeom prst="roundRect">
                        <a:avLst/>
                      </a:prstGeom>
                      <a:solidFill>
                        <a:srgbClr val="DCE9F9"/>
                      </a:solidFill>
                      <a:ln w="12700">
                        <a:solidFill>
                          <a:srgbClr val="4A6FA5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ascii="微软雅黑" w:hAnsi="微软雅黑" w:eastAsia="微软雅黑"/>
                              <w:color w:val="1F3A5F"/>
                              <w:sz w:val="18"/>
                              <w:szCs w:val="18"/>
                            </w:rPr>
                            <w:t>画布·节点二</w:t>
                          </w:r>
                        </w:p>
                      </w:txbxContent>
                    </wps:txbx>
                    <wps:bodyPr rot="0" lIns="45720" tIns="45720" rIns="45720" bIns="45720" anchor="ctr">
                      <a:noAutofit/>
                    </wps:bodyPr>
                  </wps:wsp>
                  <wps:wsp>
                    <wps:cNvSpPr/>
                    <wps:spPr>
                      <a:xfrm>
                        <a:off x="4320000" y="0"/>
                        <a:ext cx="1080000" cy="720000"/>
                      </a:xfrm>
                      <a:prstGeom prst="roundRect">
                        <a:avLst/>
                      </a:prstGeom>
                      <a:solidFill>
                        <a:srgbClr val="DCE9F9"/>
                      </a:solidFill>
                      <a:ln w="12700">
                        <a:solidFill>
                          <a:srgbClr val="4A6FA5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ascii="微软雅黑" w:hAnsi="微软雅黑" w:eastAsia="微软雅黑"/>
                              <w:color w:val="1F3A5F"/>
                              <w:sz w:val="18"/>
                              <w:szCs w:val="18"/>
                            </w:rPr>
                            <w:t>画布·节点三</w:t>
                          </w:r>
                        </w:p>
                      </w:txbxContent>
                    </wps:txbx>
                    <wps:bodyPr rot="0" lIns="45720" tIns="45720" rIns="45720" bIns="45720" anchor="ctr">
                      <a:noAutofit/>
                    </wps:bodyPr>
                  </wps:wsp>
                  <wps:wsp>
                    <wps:cNvCnPr/>
                    <wps:spPr>
                      <a:xfrm>
                        <a:off x="1080000" y="360000"/>
                        <a:ext cx="1080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A6FA5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CnPr/>
                    <wps:spPr>
                      <a:xfrm>
                        <a:off x="3240000" y="360000"/>
                        <a:ext cx="1080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A6FA5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SpPr txBox="1"/>
                    <wps:spPr>
                      <a:xfrm>
                        <a:off x="0" y="900000"/>
                        <a:ext cx="5400000" cy="54000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ascii="微软雅黑" w:hAnsi="微软雅黑" w:eastAsia="微软雅黑"/>
                              <w:color w:val="5A6B7C"/>
                              <w:sz w:val="16"/>
                              <w:szCs w:val="16"/>
                            </w:rPr>
                            <w:t>绘图画布（wpc）：内部三个节点共用一个坐标系，可整体缩放、整体移动</w:t>
                          </w:r>
                        </w:p>
                      </w:txbxContent>
                    </wps:txbx>
                    <wps:bodyPr rot="0" lIns="0" tIns="0" rIns="0" bIns="0" anchor="ctr">
                      <a:noAutofit/>
                    </wps:bodyPr>
                  </wps:wsp>
                </wpc:wpc>
              </a:graphicData>
            </a:graphic>
          </wp:inline>
        </w:drawing>
      </w:r>
    </w:p>
    <w:p>
      <w:pPr>
        <w:pStyle w:val="Heading2"/>
      </w:pPr>
      <w:r>
        <w:t xml:space="preserve">文本框与艺术字</w:t>
      </w:r>
    </w:p>
    <w:p>
      <w:pPr>
        <w:pStyle w:val="BodyText"/>
      </w:pPr>
      <w:r>
        <w:t xml:space="preserve">文本框同属 wps 家族，可以设置内部边距、文字方向、自动调整大小，还能挂在任意位置；艺术字是形状里的描边文字（textpath），文字内容依然是可编辑文本，不是艺术化图片。</w:t>
      </w:r>
    </w:p>
    <w:p>
      <w:pPr>
        <w:pStyle w:val="BodyText"/>
      </w:pPr>
      <w:bookmarkStart w:id="19" w:name="slot-textbox"/>
      <w:r>
        <w:t xml:space="preserve">文本框（wps + txbxContent）：内部是真正的段落，可以放多段文字、改对齐、加项目符号，溢出时按 bodyPr 的策略处理。</w:t>
      </w:r>
      <w:bookmarkEnd w:id="19"/>
    </w:p>
    <w:p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c="http://schemas.microsoft.com/office/word/2010/wordprocessingCanvas" xmlns:mc="http://schemas.openxmlformats.org/markup-compatibility/2006" xmlns:v="urn:schemas-microsoft-com:vml" xmlns:o="urn:schemas-microsoft-com:office:office" xmlns:w10="urn:schemas-microsoft-com:office:word">
      <w:pPr>
        <w:jc w:val="center"/>
      </w:pPr>
      <w:r>
        <w:drawing>
          <wp:inline distT="0" distB="0" distL="0" distR="0">
            <wp:extent cx="4320000" cy="1080000"/>
            <wp:effectExtent l="0" t="0" r="0" b="0"/>
            <wp:docPr id="1009" name="文本框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20000" cy="1080000"/>
                    </a:xfrm>
                    <a:prstGeom prst="rect">
                      <a:avLst/>
                    </a:prstGeom>
                    <a:solidFill>
                      <a:srgbClr val="F7F9FC"/>
                    </a:solidFill>
                    <a:ln w="12700">
                      <a:solidFill>
                        <a:srgbClr val="A8BFD8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ascii="微软雅黑" w:hAnsi="微软雅黑" w:eastAsia="微软雅黑"/>
                            <w:b/>
                            <w:color w:val="1F3A5F"/>
                            <w:sz w:val="20"/>
                            <w:szCs w:val="20"/>
                          </w:rPr>
                          <w:t>文本框标题</w:t>
                        </w:r>
                      </w:p>
                      <w:p>
                        <w:pPr>
                          <w:jc w:val="left"/>
                        </w:pPr>
                        <w:r>
                          <w:rPr>
                            <w:sz w:val="17"/>
                            <w:color w:val="45566B"/>
                          </w:rPr>
                          <w:t>内部边距、文字方向、自动调整都可以单独设置；文本是可选可搜索的正文，不是图片。</w:t>
                        </w:r>
                      </w:p>
                    </w:txbxContent>
                  </wps:txbx>
                  <wps:bodyPr rot="0" wrap="square" lIns="91440" tIns="91440" rIns="91440" bIns="91440" anchor="t" anchorCtr="0">
                    <a:noAutofit/>
                  </wps:bodyPr>
                </wps:wsp>
              </a:graphicData>
            </a:graphic>
          </wp:inline>
        </w:drawing>
      </w:r>
    </w:p>
    <w:p>
      <w:pPr>
        <w:pStyle w:val="BodyText"/>
      </w:pPr>
      <w:bookmarkStart w:id="20" w:name="slot-wordart"/>
      <w:r>
        <w:t xml:space="preserve">艺术字：用 wps 形状承载文字，再给文字加 a:prstTxWarp 变形（textWave1 波浪），文字本身仍可编辑，不是图形化文字。</w:t>
      </w:r>
      <w:bookmarkEnd w:id="20"/>
    </w:p>
    <w:p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c="http://schemas.microsoft.com/office/word/2010/wordprocessingCanvas" xmlns:mc="http://schemas.openxmlformats.org/markup-compatibility/2006" xmlns:v="urn:schemas-microsoft-com:vml" xmlns:o="urn:schemas-microsoft-com:office:office" xmlns:w10="urn:schemas-microsoft-com:office:word">
      <w:pPr>
        <w:jc w:val="center"/>
      </w:pPr>
      <w:r>
        <w:drawing>
          <wp:inline distT="0" distB="0" distL="0" distR="0">
            <wp:extent cx="5400000" cy="1224000"/>
            <wp:effectExtent l="0" t="0" r="0" b="0"/>
            <wp:docPr id="1010" name="艺术字 · 波浪变形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400000" cy="120000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ascii="Impact" w:hAnsi="Impact" w:eastAsia="微软雅黑"/>
                            <w:b/>
                            <w:color w:val="4A6FA5"/>
                            <w:sz w:val="56"/>
                            <w:szCs w:val="56"/>
                          </w:rPr>
                          <w:t>艺术字 · 可编辑文本</w:t>
                        </w:r>
                      </w:p>
                    </w:txbxContent>
                  </wps:txbx>
                  <wps:bodyPr rot="0" wrap="square" lIns="0" tIns="0" rIns="0" bIns="0" anchor="ctr" anchorCtr="0" upright="1">
                    <a:prstTxWarp prst="textWave1">
                      <a:avLst/>
                    </a:prstTxWarp>
                    <a:noAutofit/>
                  </wps:bodyPr>
                </wps:wsp>
              </a:graphicData>
            </a:graphic>
          </wp:inline>
        </w:drawing>
      </w:r>
    </w:p>
    <w:p>
      <w:pPr>
        <w:pStyle w:val="Heading2"/>
      </w:pPr>
      <w:r>
        <w:t xml:space="preserve">图片、浮动图片与图片题注</w:t>
      </w:r>
    </w:p>
    <w:p>
      <w:pPr>
        <w:pStyle w:val="BodyText"/>
      </w:pPr>
      <w:r>
        <w:t xml:space="preserve">内联图片与正文同流，浮动图片挂在锚点段落上并可四周环绕文字。引擎原生支持内联图片插入与题注联动。</w:t>
      </w:r>
    </w:p>
    <w:p>
      <w:pPr>
        <w:pStyle w:val="BodyText"/>
        <w:ind w:firstLine="0"/>
        <w:jc w:val="center"/>
      </w:pPr>
      <w:r>
        <w:drawing>
          <wp:inline xmlns:wp="http://schemas.openxmlformats.org/drawingml/2006/wordprocessingDrawing" distT="0" distB="0" distL="0" distR="0">
            <wp:extent cx="3960000" cy="2282400"/>
            <wp:effectExtent l="0" t="0" r="0" b="0"/>
            <wp:docPr id="2" name="第二批元素演示插图" descr="第二批元素演示插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第二批元素演示插图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28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ureCaption"/>
      </w:pPr>
      <w:bookmarkStart w:id="21" w:name="fig-insert"/>
      <w:r>
        <w:t xml:space="preserve">图</w:t>
      </w:r>
      <w:r>
        <w:fldChar w:fldCharType="begin"/>
      </w:r>
      <w:r>
        <w:instrText xml:space="preserve"> SEQ _chap_Heading1 \* ARABIC \c </w:instrText>
      </w:r>
      <w:r>
        <w:fldChar w:fldCharType="separate"/>
      </w:r>
      <w:r>
        <w:t xml:space="preserve">6</w:t>
      </w:r>
      <w:r>
        <w:fldChar w:fldCharType="end"/>
      </w:r>
      <w:r>
        <w:t xml:space="preserve">.</w:t>
      </w:r>
      <w:r>
        <w:fldChar w:fldCharType="begin"/>
      </w:r>
      <w:r>
        <w:instrText xml:space="preserve"> SEQ Figure \* ARABIC \s 1 </w:instrText>
      </w:r>
      <w:r>
        <w:fldChar w:fldCharType="separate"/>
      </w:r>
      <w:r>
        <w:t xml:space="preserve">1</w:t>
      </w:r>
      <w:r>
        <w:fldChar w:fldCharType="end"/>
      </w:r>
      <w:bookmarkEnd w:id="21"/>
      <w:r>
        <w:t xml:space="preserve"> </w:t>
      </w:r>
      <w:r>
        <w:t xml:space="preserve">插入元素章的内联图片</w:t>
      </w:r>
    </w:p>
    <w:p>
      <w:pPr>
        <w:pStyle w:val="BodyText"/>
      </w:pPr>
      <w:r>
        <w:t xml:space="preserve">图号引用同样走域：</w:t>
      </w:r>
      <w:r>
        <w:fldChar w:fldCharType="begin"/>
      </w:r>
      <w:r>
        <w:instrText xml:space="preserve"> REF fig-insert \h </w:instrText>
      </w:r>
      <w:r>
        <w:fldChar w:fldCharType="separate"/>
      </w:r>
      <w:r>
        <w:t xml:space="preserve">图6.1</w:t>
      </w:r>
      <w:r>
        <w:fldChar w:fldCharType="end"/>
      </w:r>
      <w:r>
        <w:t xml:space="preserve">。图片的浮动版式、裁剪（srcRect）与效果（阴影、发光、柔化边缘）引擎不直接管，由后处理补丁写入。</w:t>
      </w:r>
    </w:p>
    <w:p>
      <w:pPr>
        <w:pStyle w:val="BodyText"/>
      </w:pPr>
      <w:bookmarkStart w:id="22" w:name="slot-floatimg"/>
      <w:r>
        <w:t xml:space="preserve">浮动图片（wp:anchor + 四周型环绕）：</w:t>
      </w:r>
      <w:bookmarkEnd w:id="22"/>
    </w:p>
    <w:p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c="http://schemas.microsoft.com/office/word/2010/wordprocessingCanvas" xmlns:mc="http://schemas.openxmlformats.org/markup-compatibility/2006" xmlns:v="urn:schemas-microsoft-com:vml" xmlns:o="urn:schemas-microsoft-com:office:office" xmlns:w10="urn:schemas-microsoft-com:office:word">
      <w:pPr>
        <w:jc w:val="center"/>
      </w:pPr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line">
              <wp:posOffset>0</wp:posOffset>
            </wp:positionV>
            <wp:extent cx="2160000" cy="1245600"/>
            <wp:effectExtent l="0" t="0" r="0" b="0"/>
            <wp:wrapTight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ight>
            <wp:docPr id="1012" name="浮动图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1" name="浮动图片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24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　这里是环绕在浮动图片右侧的正文，用来验证“四周型环绕”是否生效。图片挂在所在段落的锚点上，位置由 positionH / positionV 给出，与正文不在同一条流里，所以拖动它不会像内联图片那样把后面的文字整体推走。</w:t>
      </w:r>
    </w:p>
    <w:p>
      <w:pPr>
        <w:pStyle w:val="BodyText"/>
      </w:pPr>
      <w:bookmarkStart w:id="23" w:name="slot-imgeffect"/>
      <w:r>
        <w:t xml:space="preserve">图片裁剪（a:srcRect 裁掉左右各 18%）与图片效果（外阴影 + 蓝色发光 + 柔化边缘 + 亮度对比调整）：</w:t>
      </w:r>
      <w:bookmarkEnd w:id="23"/>
    </w:p>
    <w:p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c="http://schemas.microsoft.com/office/word/2010/wordprocessingCanvas" xmlns:mc="http://schemas.openxmlformats.org/markup-compatibility/2006" xmlns:v="urn:schemas-microsoft-com:vml" xmlns:o="urn:schemas-microsoft-com:office:office" xmlns:w10="urn:schemas-microsoft-com:office:word">
      <w:pPr>
        <w:jc w:val="center"/>
      </w:pPr>
      <w:r>
        <w:drawing>
          <wp:inline distT="0" distB="0" distL="0" distR="0">
            <wp:extent cx="2520000" cy="1454400"/>
            <wp:effectExtent l="0" t="0" r="0" b="0"/>
            <wp:docPr id="1014" name="裁剪后的图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3" name="裁剪后的图片"/>
                    <pic:cNvPicPr/>
                  </pic:nvPicPr>
                  <pic:blipFill>
                    <a:blip r:embed="rId202"/>
                    <a:srcRect l="18000" t="0" r="1800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c="http://schemas.microsoft.com/office/word/2010/wordprocessingCanvas" xmlns:mc="http://schemas.openxmlformats.org/markup-compatibility/2006" xmlns:v="urn:schemas-microsoft-com:vml" xmlns:o="urn:schemas-microsoft-com:office:office" xmlns:w10="urn:schemas-microsoft-com:office:word">
      <w:pPr>
        <w:pStyle w:val="BodyText"/>
      </w:pPr>
      <w:r>
        <w:t>上图左、右各裁掉 18%（a:srcRect），画面主体被放大，原图文件没有被改动。</w:t>
      </w:r>
    </w:p>
    <w:p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c="http://schemas.microsoft.com/office/word/2010/wordprocessingCanvas" xmlns:mc="http://schemas.openxmlformats.org/markup-compatibility/2006" xmlns:v="urn:schemas-microsoft-com:vml" xmlns:o="urn:schemas-microsoft-com:office:office" xmlns:w10="urn:schemas-microsoft-com:office:word">
      <w:pPr>
        <w:jc w:val="center"/>
      </w:pPr>
      <w:r>
        <w:drawing>
          <wp:inline distT="0" distB="0" distL="0" distR="0">
            <wp:extent cx="2520000" cy="1454400"/>
            <wp:effectExtent l="0" t="0" r="0" b="0"/>
            <wp:docPr id="1016" name="带效果的图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5" name="带效果的图片"/>
                    <pic:cNvPicPr/>
                  </pic:nvPicPr>
                  <pic:blipFill>
                    <a:blip r:embed="rId203">
                      <a:lum bright="-8000" contrast="1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454400"/>
                    </a:xfrm>
                    <a:prstGeom prst="rect">
                      <a:avLst/>
                    </a:prstGeom>
                    <a:effectLst>
                      <a:glow rad="50800">
                        <a:srgbClr val="4A6FA5">
                          <a:alpha val="55000"/>
                        </a:srgbClr>
                      </a:glow>
                      <a:outerShdw blurRad="63500" dist="38100" dir="2700000" rotWithShape="0">
                        <a:srgbClr val="1F3A5F">
                          <a:alpha val="45000"/>
                        </a:srgbClr>
                      </a:outerShdw>
                      <a:softEdge rad="63500"/>
                    </a:effectLst>
                  </pic:spPr>
                </pic:pic>
              </a:graphicData>
            </a:graphic>
          </wp:inline>
        </w:drawing>
      </w:r>
    </w:p>
    <w:p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c="http://schemas.microsoft.com/office/word/2010/wordprocessingCanvas" xmlns:mc="http://schemas.openxmlformats.org/markup-compatibility/2006" xmlns:v="urn:schemas-microsoft-com:vml" xmlns:o="urn:schemas-microsoft-com:office:office" xmlns:w10="urn:schemas-microsoft-com:office:word">
      <w:pPr>
        <w:pStyle w:val="BodyText"/>
      </w:pPr>
      <w:r>
        <w:t>上图叠加了柔化边缘、蓝色发光、外阴影与亮度／对比度调整，全部是矢量效果，不新增位图。</w:t>
      </w:r>
    </w:p>
    <w:p>
      <w:pPr>
        <w:pStyle w:val="Heading2"/>
      </w:pPr>
      <w:r>
        <w:t xml:space="preserve">SmartArt 图形</w:t>
      </w:r>
    </w:p>
    <w:p>
      <w:pPr>
        <w:pStyle w:val="BodyText"/>
      </w:pPr>
      <w:r>
        <w:t xml:space="preserve">SmartArt 不是单个 XML 部件能表达的东西：它由 diagram 的数据（data）、布局（layout）、快速样式（quickStyle）、配色（colors）四个部件组成，其中 layout 是 Word 内置的布局算法定义（dgm:layoutDef，内含 forEach / alg / constrLst 等运算指令）。这套定义无法在没有渲染环境的情况下可靠复刻，硬拼只会让 Word 弹修复提示。这里改用形状 + 连接线复刻同样的语义与视觉，可编辑性甚至更好。</w:t>
      </w:r>
    </w:p>
    <w:p>
      <w:pPr>
        <w:pStyle w:val="BodyText"/>
      </w:pPr>
      <w:bookmarkStart w:id="24" w:name="slot-smartart"/>
      <w:r>
        <w:t xml:space="preserve">SmartArt 语义复刻（画布 + 圆角矩形 + 箭头连接线）：视觉与操作体验接近“基本流程”，且每个节点都是独立可编辑形状。</w:t>
      </w:r>
      <w:bookmarkEnd w:id="24"/>
    </w:p>
    <w:p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c="http://schemas.microsoft.com/office/word/2010/wordprocessingCanvas" xmlns:mc="http://schemas.openxmlformats.org/markup-compatibility/2006" xmlns:v="urn:schemas-microsoft-com:vml" xmlns:o="urn:schemas-microsoft-com:office:office" xmlns:w10="urn:schemas-microsoft-com:office:word">
      <w:pPr>
        <w:jc w:val="center"/>
      </w:pPr>
      <w:r>
        <w:drawing>
          <wp:inline distT="0" distB="0" distL="0" distR="0">
            <wp:extent cx="5400000" cy="1152000"/>
            <wp:effectExtent l="0" t="0" r="0" b="0"/>
            <wp:docPr id="1018" name="SmartArt 复刻"/>
            <wp:cNvGraphicFramePr/>
            <a:graphic>
              <a:graphicData uri="http://schemas.microsoft.com/office/word/2010/wordprocessingCanvas">
                <wpc:wpc>
                  <wpc:cNvPr id="1017" name="绘图画布"/>
                  <wpc:cNvGrpSpPr/>
                  <wpc:grpSpPr>
                    <a:xfrm>
                      <a:off x="0" y="0"/>
                      <a:ext cx="5400000" cy="1152000"/>
                      <a:chOff x="0" y="0"/>
                      <a:chExt cx="5400000" cy="1152000"/>
                    </a:xfrm>
                  </wpc:grpSpPr>
                  <wps:wsp>
                    <wps:cNvSpPr/>
                    <wps:spPr>
                      <a:xfrm>
                        <a:off x="0" y="180000"/>
                        <a:ext cx="1170000" cy="720000"/>
                      </a:xfrm>
                      <a:prstGeom prst="roundRect">
                        <a:avLst/>
                      </a:prstGeom>
                      <a:solidFill>
                        <a:srgbClr val="DCE9F9"/>
                      </a:solidFill>
                      <a:ln w="12700">
                        <a:solidFill>
                          <a:srgbClr val="4A6FA5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ascii="微软雅黑" w:hAnsi="微软雅黑" w:eastAsia="微软雅黑"/>
                              <w:b/>
                              <w:color w:val="1F3A5F"/>
                              <w:sz w:val="18"/>
                              <w:szCs w:val="18"/>
                            </w:rPr>
                            <w:t>需求</w:t>
                          </w:r>
                        </w:p>
                      </w:txbxContent>
                    </wps:txbx>
                    <wps:bodyPr rot="0" lIns="45720" tIns="45720" rIns="45720" bIns="45720" anchor="ctr">
                      <a:noAutofit/>
                    </wps:bodyPr>
                  </wps:wsp>
                  <wps:wsp>
                    <wps:cNvCnPr/>
                    <wps:spPr>
                      <a:xfrm>
                        <a:off x="1170000" y="540000"/>
                        <a:ext cx="180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A6FA5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1350000" y="180000"/>
                        <a:ext cx="1170000" cy="720000"/>
                      </a:xfrm>
                      <a:prstGeom prst="roundRect">
                        <a:avLst/>
                      </a:prstGeom>
                      <a:solidFill>
                        <a:srgbClr val="E8F0FE"/>
                      </a:solidFill>
                      <a:ln w="12700">
                        <a:solidFill>
                          <a:srgbClr val="4A6FA5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ascii="微软雅黑" w:hAnsi="微软雅黑" w:eastAsia="微软雅黑"/>
                              <w:b/>
                              <w:color w:val="1F3A5F"/>
                              <w:sz w:val="18"/>
                              <w:szCs w:val="18"/>
                            </w:rPr>
                            <w:t>设计</w:t>
                          </w:r>
                        </w:p>
                      </w:txbxContent>
                    </wps:txbx>
                    <wps:bodyPr rot="0" lIns="45720" tIns="45720" rIns="45720" bIns="45720" anchor="ctr">
                      <a:noAutofit/>
                    </wps:bodyPr>
                  </wps:wsp>
                  <wps:wsp>
                    <wps:cNvCnPr/>
                    <wps:spPr>
                      <a:xfrm>
                        <a:off x="2520000" y="540000"/>
                        <a:ext cx="180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A6FA5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2700000" y="180000"/>
                        <a:ext cx="1170000" cy="720000"/>
                      </a:xfrm>
                      <a:prstGeom prst="roundRect">
                        <a:avLst/>
                      </a:prstGeom>
                      <a:solidFill>
                        <a:srgbClr val="FFF2CC"/>
                      </a:solidFill>
                      <a:ln w="12700">
                        <a:solidFill>
                          <a:srgbClr val="4A6FA5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ascii="微软雅黑" w:hAnsi="微软雅黑" w:eastAsia="微软雅黑"/>
                              <w:b/>
                              <w:color w:val="1F3A5F"/>
                              <w:sz w:val="18"/>
                              <w:szCs w:val="18"/>
                            </w:rPr>
                            <w:t>实现</w:t>
                          </w:r>
                        </w:p>
                      </w:txbxContent>
                    </wps:txbx>
                    <wps:bodyPr rot="0" lIns="45720" tIns="45720" rIns="45720" bIns="45720" anchor="ctr">
                      <a:noAutofit/>
                    </wps:bodyPr>
                  </wps:wsp>
                  <wps:wsp>
                    <wps:cNvCnPr/>
                    <wps:spPr>
                      <a:xfrm>
                        <a:off x="3870000" y="540000"/>
                        <a:ext cx="180000" cy="0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4A6FA5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SpPr/>
                    <wps:spPr>
                      <a:xfrm>
                        <a:off x="4050000" y="180000"/>
                        <a:ext cx="1170000" cy="720000"/>
                      </a:xfrm>
                      <a:prstGeom prst="roundRect">
                        <a:avLst/>
                      </a:prstGeom>
                      <a:solidFill>
                        <a:srgbClr val="E2EFDA"/>
                      </a:solidFill>
                      <a:ln w="12700">
                        <a:solidFill>
                          <a:srgbClr val="4A6FA5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ascii="微软雅黑" w:hAnsi="微软雅黑" w:eastAsia="微软雅黑"/>
                              <w:b/>
                              <w:color w:val="1F3A5F"/>
                              <w:sz w:val="18"/>
                              <w:szCs w:val="18"/>
                            </w:rPr>
                            <w:t>验收</w:t>
                          </w:r>
                        </w:p>
                      </w:txbxContent>
                    </wps:txbx>
                    <wps:bodyPr rot="0" lIns="45720" tIns="45720" rIns="45720" bIns="45720" anchor="ctr">
                      <a:noAutofit/>
                    </wps:bodyPr>
                  </wps:wsp>
                </wpc:wpc>
              </a:graphicData>
            </a:graphic>
          </wp:inline>
        </w:drawing>
      </w:r>
    </w:p>
    <w:p>
      <w:pPr>
        <w:pStyle w:val="Heading2"/>
      </w:pPr>
      <w:r>
        <w:t xml:space="preserve">内嵌图表</w:t>
      </w:r>
    </w:p>
    <w:p>
      <w:pPr>
        <w:pStyle w:val="BodyText"/>
      </w:pPr>
      <w:r>
        <w:t xml:space="preserve">图表由两个部件组成：明文 XML 的 c:chartSpace（图形定义 + 数据缓存）与一个内嵌 xlsx（数据源）。在 Word 里它是活对象，右键可以换图表类型、编辑数据。</w:t>
      </w:r>
    </w:p>
    <w:p>
      <w:pPr>
        <w:pStyle w:val="BodyText"/>
      </w:pPr>
      <w:bookmarkStart w:id="25" w:name="slot-chart"/>
      <w:r>
        <w:t xml:space="preserve">内嵌图表（c:chartSpace + 内嵌 xlsx 数据源）：在 Word 里是活对象，右键可改图表类型、编辑数据、切换行列。</w:t>
      </w:r>
      <w:bookmarkEnd w:id="25"/>
    </w:p>
    <w:p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c="http://schemas.microsoft.com/office/word/2010/wordprocessingCanvas" xmlns:mc="http://schemas.openxmlformats.org/markup-compatibility/2006" xmlns:v="urn:schemas-microsoft-com:vml" xmlns:o="urn:schemas-microsoft-com:office:office" xmlns:w10="urn:schemas-microsoft-com:office:word">
      <w:pPr>
        <w:jc w:val="center"/>
      </w:pPr>
      <w:r>
        <w:drawing>
          <wp:inline distT="0" distB="0" distL="0" distR="0">
            <wp:extent cx="5184000" cy="3240000"/>
            <wp:effectExtent l="0" t="0" r="0" b="0"/>
            <wp:docPr id="1019" name="内嵌图表"/>
            <wp:cNvGraphicFramePr>
              <a:graphicFrameLocks noChangeAspect="1"/>
            </wp:cNvGraphicFramePr>
            <a:graphic>
              <a:graphicData uri="http://schemas.openxmlformats.org/drawingml/2006/chart">
                <c:chart xmlns:c="http://schemas.openxmlformats.org/drawingml/2006/chart" r:id="rId204"/>
              </a:graphicData>
            </a:graphic>
          </wp:inline>
        </w:drawing>
      </w:r>
    </w:p>
    <w:p>
      <w:pPr>
        <w:pStyle w:val="Heading2"/>
      </w:pPr>
      <w:r>
        <w:t xml:space="preserve">OLE 嵌入对象</w:t>
      </w:r>
    </w:p>
    <w:p>
      <w:pPr>
        <w:pStyle w:val="BodyText"/>
      </w:pPr>
      <w:r>
        <w:t xml:space="preserve">真正的 OLE 对象要求 oleObject.bin 是 OLE2 复合文档（CFB）容器，并且通常带 EMF/WMF 预览图。本机没有 Office COM，无法让应用替我们生成这个二进制，因此这里用程序直接构造一个最小 CFB 容器，把一份真实的工作簿装进 Package 流，并配上预览图与 w:OLEObject 声明。</w:t>
      </w:r>
    </w:p>
    <w:p>
      <w:pPr>
        <w:pStyle w:val="BodyText"/>
      </w:pPr>
      <w:bookmarkStart w:id="26" w:name="slot-ole"/>
      <w:r>
        <w:t xml:space="preserve">OLE 嵌入对象（Type=Embed / ProgID=Package，内含一份真实工作簿，双击可调用本机关联程序打开）：</w:t>
      </w:r>
      <w:bookmarkEnd w:id="26"/>
    </w:p>
    <w:p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c="http://schemas.microsoft.com/office/word/2010/wordprocessingCanvas" xmlns:mc="http://schemas.openxmlformats.org/markup-compatibility/2006" xmlns:v="urn:schemas-microsoft-com:vml" xmlns:o="urn:schemas-microsoft-com:office:office" xmlns:w10="urn:schemas-microsoft-com:office:word">
      <w:pPr>
        <w:jc w:val="center"/>
      </w:pPr>
      <w:r>
        <w:object w:dxaOrig="4320" w:dyaOrig="1440">
          <v:shape id="_x0000_i1031" o:spid="_x0000_i1031" style="width:216pt;height:72pt" coordsize="21600,21600" path="m0,0 l21600,0 21600,14400 0,14400 x e" fillcolor="none" stroked="f">
            <v:imagedata r:id="rId207" o:title="嵌入的工作簿"/>
          </v:shape>
          <o:OLEObject Type="Embed" ProgID="Package" ShapeID="_x0000_i1031" DrawAspect="Icon" ObjectID="_1553000001" r:id="rId206"/>
        </w:object>
      </w:r>
    </w:p>
    <w:p>
      <w:pPr>
        <w:pStyle w:val="BodyText"/>
      </w:pPr>
      <w:r>
        <w:t xml:space="preserve">另有两条不必动二进制的替代路径，在无法构造 CFB 的场合更实用：altChunk 引用外部文件让 Word 在打开时导入内容；以及“链接到文件”的域，只存路径不存数据。</w:t>
      </w:r>
    </w:p>
    <w:p>
      <w:pPr>
        <w:pStyle w:val="Heading2"/>
      </w:pPr>
      <w:r>
        <w:t xml:space="preserve">墨迹绘图与手写笔迹</w:t>
      </w:r>
    </w:p>
    <w:p>
      <w:pPr>
        <w:pStyle w:val="BodyText"/>
      </w:pPr>
      <w:r>
        <w:t xml:space="preserve">Word 2013 以后把墨迹存成独立的 InkML 部件，由 w14:contentPart 从正文引用，可回放笔顺与压感。InkML 本身是明文 XML，但部件类型注册与 w14 命名空间的交互缺少 XSD 覆盖，无法在本环境验证 Word 的接受度；强行写入一旦不被接受，代价是整篇文档打不开。所以这里保留 Word 全版本都能渲染的 VML 折线笔迹（视觉与墨迹一致，只是没有笔顺回放），并把真 InkML 的门槛写进清单。</w:t>
      </w:r>
    </w:p>
    <w:p>
      <w:pPr>
        <w:pStyle w:val="BodyText"/>
      </w:pPr>
      <w:bookmarkStart w:id="27" w:name="slot-ink"/>
      <w:r>
        <w:t xml:space="preserve">手写笔迹（VML 折线模拟，全版本可渲染；真 InkML 部件的限制写在清单里）：</w:t>
      </w:r>
      <w:bookmarkEnd w:id="27"/>
    </w:p>
    <w:p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c="http://schemas.microsoft.com/office/word/2010/wordprocessingCanvas" xmlns:mc="http://schemas.openxmlformats.org/markup-compatibility/2006" xmlns:v="urn:schemas-microsoft-com:vml" xmlns:o="urn:schemas-microsoft-com:office:office" xmlns:w10="urn:schemas-microsoft-com:office:word">
      <w:pPr>
        <w:jc w:val="center"/>
      </w:pPr>
      <w:r>
        <w:pict>
          <v:shape id="inkStroke1" o:spid="_x0000_i1032" style="width:247pt;height:60pt" coordsize="2400,600" fillcolor="none" stroked="t" strokecolor="#1F3A5F" strokeweight="1.5pt" path="m120,520 l240,300 360,470 480,140 600,430 720,260 840,500 960,180 1080,420 1200,320 1320,560 1440,240 1560,440 1680,300 1800,520 1920,200 2040,460 2160,340 2280,540 e">
            <v:stroke linestyle="single" endcap="round" joinstyle="round"/>
          </v:shape>
        </w:pict>
      </w:r>
    </w:p>
    <w:p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c="http://schemas.microsoft.com/office/word/2010/wordprocessingCanvas" xmlns:mc="http://schemas.openxmlformats.org/markup-compatibility/2006" xmlns:v="urn:schemas-microsoft-com:vml" xmlns:o="urn:schemas-microsoft-com:office:office" xmlns:w10="urn:schemas-microsoft-com:office:word">
      <w:pPr>
        <w:pStyle w:val="BodyText"/>
      </w:pPr>
      <w:r>
        <w:t>上面这条折线就是“手写笔迹”的落点：一串带压感风格的顶点。VML 版本处处可渲染，但没有笔顺回放。</w:t>
      </w:r>
    </w:p>
    <w:p>
      <w:pPr>
        <w:pStyle w:val="Heading2"/>
      </w:pPr>
      <w:r>
        <w:t xml:space="preserve">特殊符号与特殊字符</w:t>
      </w:r>
    </w:p>
    <w:p>
      <w:pPr>
        <w:pStyle w:val="BodyText"/>
      </w:pPr>
      <w:r>
        <w:t xml:space="preserve">符号有两条路。Unicode 字符直接用文本写入，字体回退友好，是首选；字体私有区的字形则要用 w:sym 明确指定字体与码位，否则换机器就会变成方框。</w:t>
      </w:r>
    </w:p>
    <w:p>
      <w:pPr>
        <w:pStyle w:val="BodyText"/>
      </w:pPr>
      <w:r>
        <w:t xml:space="preserve">Unicode 直接写入示例：§ ¶ † ‡ № ℃ ℉ ± × ÷ ≈ ≠ ≤ ≥ ∞ √ ∑ ∏ ∫ α β γ δ Ω ← ↑ → ↓ ⇒ ⇔ ★ ☆ ● ○ ▲ △ ■ □ ✓ ✗ ①②③ ⑴⑵⑶ ㈠㈡㈢ Ⅰ Ⅱ Ⅲ</w:t>
      </w:r>
    </w:p>
    <w:p>
      <w:pPr>
        <w:pStyle w:val="BodyText"/>
      </w:pPr>
      <w:bookmarkStart w:id="28" w:name="slot-symbol"/>
      <w:r>
        <w:t xml:space="preserve">w:sym 指定字体与码位（左起：Wingdings 的对勾、带框对勾、方框；末位是 Segoe UI Symbol 的箭头）：</w:t>
      </w:r>
      <w:bookmarkEnd w:id="28"/>
    </w:p>
    <w:p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c="http://schemas.microsoft.com/office/word/2010/wordprocessingCanvas" xmlns:mc="http://schemas.openxmlformats.org/markup-compatibility/2006" xmlns:v="urn:schemas-microsoft-com:vml" xmlns:o="urn:schemas-microsoft-com:office:office" xmlns:w10="urn:schemas-microsoft-com:office:word">
      <w:pPr>
        <w:jc w:val="center"/>
      </w:pPr>
      <w:r>
        <w:rPr>
          <w:rFonts w:ascii="Wingdings" w:hAnsi="Wingdings"/>
          <w:sz w:val="28"/>
        </w:rPr>
        <w:sym w:font="Wingdings" w:char="F0FC"/>
      </w:r>
      <w:r>
        <w:t xml:space="preserve">　</w:t>
      </w:r>
      <w:r>
        <w:rPr>
          <w:rFonts w:ascii="Wingdings" w:hAnsi="Wingdings"/>
          <w:sz w:val="28"/>
        </w:rPr>
        <w:sym w:font="Wingdings" w:char="F0FE"/>
      </w:r>
      <w:r>
        <w:t xml:space="preserve">　</w:t>
      </w:r>
      <w:r>
        <w:rPr>
          <w:rFonts w:ascii="Wingdings" w:hAnsi="Wingdings"/>
          <w:sz w:val="28"/>
        </w:rPr>
        <w:sym w:font="Wingdings" w:char="F0A8"/>
      </w:r>
      <w:r>
        <w:t xml:space="preserve">　</w:t>
      </w:r>
      <w:r>
        <w:rPr>
          <w:rFonts w:ascii="Segoe UI Symbol" w:hAnsi="Segoe UI Symbol"/>
          <w:sz w:val="28"/>
        </w:rPr>
        <w:sym w:font="Segoe UI Symbol" w:char="F0E0"/>
      </w:r>
    </w:p>
    <w:p>
      <w:pPr>
        <w:pStyle w:val="Heading1"/>
      </w:pPr>
      <w:r>
        <w:t xml:space="preserve">域与自动更新内容</w:t>
      </w:r>
    </w:p>
    <w:p>
      <w:pPr>
        <w:pStyle w:val="_HiddenChapterCounter"/>
        <w:rPr>
          <w:vanish/>
        </w:rPr>
      </w:pPr>
      <w:r>
        <w:rPr>
          <w:vanish/>
        </w:rPr>
        <w:fldChar w:fldCharType="begin"/>
      </w:r>
      <w:r>
        <w:rPr>
          <w:vanish/>
        </w:rPr>
        <w:instrText xml:space="preserve"> SEQ _chap_Heading1 \* ARABIC </w:instrText>
      </w:r>
      <w:r>
        <w:rPr>
          <w:vanish/>
        </w:rPr>
        <w:fldChar w:fldCharType="separate"/>
      </w:r>
      <w:r>
        <w:rPr>
          <w:vanish/>
        </w:rPr>
        <w:t xml:space="preserve"/>
      </w:r>
      <w:r>
        <w:rPr>
          <w:vanish/>
        </w:rPr>
        <w:fldChar w:fldCharType="end"/>
      </w:r>
    </w:p>
    <w:p>
      <w:pPr>
        <w:pStyle w:val="Heading2"/>
      </w:pPr>
      <w:r>
        <w:t xml:space="preserve">域的构成</w:t>
      </w:r>
    </w:p>
    <w:p>
      <w:pPr>
        <w:pStyle w:val="BodyText"/>
      </w:pPr>
      <w:r>
        <w:t xml:space="preserve">域是文档里的“活内容”，由 fldChar 三件套（begin / separate / end）包住一段 instrText 指令。中间那段分隔符之后的文字是“上次算出的结果”，Word 打开时按指令重新求值。引擎原生暴露 PAGE、NUMPAGES、DATE 三个；其余域由后处理补丁写入。</w:t>
      </w:r>
    </w:p>
    <w:tbl>
      <w:tblPr>
        <w:tblW w:w="0" w:type="auto"/>
        <w:tblBorders>
          <w:top w:val="single" w:sz="16" w:space="0" w:color="auto"/>
          <w:left w:val="nil"/>
          <w:bottom w:val="single" w:sz="16" w:space="0" w:color="auto"/>
          <w:right w:val="nil"/>
          <w:insideH w:val="single" w:sz="4" w:space="0" w:color="auto"/>
          <w:insideV w:val="single" w:sz="4" w:space="0" w:color="auto"/>
        </w:tblBorders>
        <w:tblCellMar>
          <w:top w:w="40" w:type="dxa"/>
          <w:left w:w="120" w:type="dxa"/>
          <w:bottom w:w="40" w:type="dxa"/>
          <w:right w:w="120" w:type="dxa"/>
        </w:tblCellMar>
      </w:tblPr>
      <w:tblGrid>
        <w:gridCol w:w="2268"/>
        <w:gridCol w:w="2835"/>
        <w:gridCol w:w="2835"/>
      </w:tblGrid>
      <w:tr>
        <w:trPr>
          <w:tblHeader/>
        </w:trPr>
        <w:tc>
          <w:tcPr>
            <w:vAlign w:val="center"/>
          </w:tcPr>
          <w:p>
            <w:pPr>
              <w:pStyle w:val="TableHeader"/>
            </w:pPr>
            <w:r>
              <w:t xml:space="preserve">域名</w:t>
            </w:r>
          </w:p>
        </w:tc>
        <w:tc>
          <w:tcPr>
            <w:vAlign w:val="center"/>
          </w:tcPr>
          <w:p>
            <w:pPr>
              <w:pStyle w:val="TableHeader"/>
            </w:pPr>
            <w:r>
              <w:t xml:space="preserve">作用</w:t>
            </w:r>
          </w:p>
        </w:tc>
        <w:tc>
          <w:tcPr>
            <w:vAlign w:val="center"/>
          </w:tcPr>
          <w:p>
            <w:pPr>
              <w:pStyle w:val="TableHeader"/>
            </w:pPr>
            <w:r>
              <w:t xml:space="preserve">本文档落地位置</w:t>
            </w:r>
          </w:p>
        </w:tc>
      </w:tr>
      <w:tr>
        <w:tc>
          <w:tcPr>
            <w:vAlign w:val="center"/>
          </w:tcPr>
          <w:p>
            <w:r>
              <w:t xml:space="preserve">DATE / TIME</w:t>
            </w:r>
          </w:p>
        </w:tc>
        <w:tc>
          <w:tcPr>
            <w:vAlign w:val="center"/>
          </w:tcPr>
          <w:p>
            <w:r>
              <w:t xml:space="preserve">插入当天日期 / 当前时间，打开即刷新</w:t>
            </w:r>
          </w:p>
        </w:tc>
        <w:tc>
          <w:tcPr>
            <w:vAlign w:val="center"/>
          </w:tcPr>
          <w:p>
            <w:r>
              <w:t xml:space="preserve">封面与第 7 章</w:t>
            </w:r>
          </w:p>
        </w:tc>
      </w:tr>
      <w:tr>
        <w:tc>
          <w:tcPr>
            <w:vAlign w:val="center"/>
          </w:tcPr>
          <w:p>
            <w:r>
              <w:t xml:space="preserve">AUTHOR</w:t>
            </w:r>
          </w:p>
        </w:tc>
        <w:tc>
          <w:tcPr>
            <w:vAlign w:val="center"/>
          </w:tcPr>
          <w:p>
            <w:r>
              <w:t xml:space="preserve">取文档属性里的作者</w:t>
            </w:r>
          </w:p>
        </w:tc>
        <w:tc>
          <w:tcPr>
            <w:vAlign w:val="center"/>
          </w:tcPr>
          <w:p>
            <w:r>
              <w:t xml:space="preserve">第 7 章</w:t>
            </w:r>
          </w:p>
        </w:tc>
      </w:tr>
      <w:tr>
        <w:tc>
          <w:tcPr>
            <w:vAlign w:val="center"/>
          </w:tcPr>
          <w:p>
            <w:r>
              <w:t xml:space="preserve">FILENAME</w:t>
            </w:r>
          </w:p>
        </w:tc>
        <w:tc>
          <w:tcPr>
            <w:vAlign w:val="center"/>
          </w:tcPr>
          <w:p>
            <w:r>
              <w:t xml:space="preserve">取文件名（含或不含路径）</w:t>
            </w:r>
          </w:p>
        </w:tc>
        <w:tc>
          <w:tcPr>
            <w:vAlign w:val="center"/>
          </w:tcPr>
          <w:p>
            <w:r>
              <w:t xml:space="preserve">第 7 章</w:t>
            </w:r>
          </w:p>
        </w:tc>
      </w:tr>
      <w:tr>
        <w:tc>
          <w:tcPr>
            <w:vAlign w:val="center"/>
          </w:tcPr>
          <w:p>
            <w:r>
              <w:t xml:space="preserve">NUMWORDS / NUMCHARS</w:t>
            </w:r>
          </w:p>
        </w:tc>
        <w:tc>
          <w:tcPr>
            <w:vAlign w:val="center"/>
          </w:tcPr>
          <w:p>
            <w:r>
              <w:t xml:space="preserve">文档字数 / 字符数</w:t>
            </w:r>
          </w:p>
        </w:tc>
        <w:tc>
          <w:tcPr>
            <w:vAlign w:val="center"/>
          </w:tcPr>
          <w:p>
            <w:r>
              <w:t xml:space="preserve">第 10 章</w:t>
            </w:r>
          </w:p>
        </w:tc>
      </w:tr>
      <w:tr>
        <w:tc>
          <w:tcPr>
            <w:vAlign w:val="center"/>
          </w:tcPr>
          <w:p>
            <w:r>
              <w:t xml:space="preserve">STYLEREF</w:t>
            </w:r>
          </w:p>
        </w:tc>
        <w:tc>
          <w:tcPr>
            <w:vAlign w:val="center"/>
          </w:tcPr>
          <w:p>
            <w:r>
              <w:t xml:space="preserve">取最近一个指定样式的段落内容</w:t>
            </w:r>
          </w:p>
        </w:tc>
        <w:tc>
          <w:tcPr>
            <w:vAlign w:val="center"/>
          </w:tcPr>
          <w:p>
            <w:r>
              <w:t xml:space="preserve">页眉（跟随章标题）</w:t>
            </w:r>
          </w:p>
        </w:tc>
      </w:tr>
      <w:tr>
        <w:tc>
          <w:tcPr>
            <w:vAlign w:val="center"/>
          </w:tcPr>
          <w:p>
            <w:r>
              <w:t xml:space="preserve">SEQ</w:t>
            </w:r>
          </w:p>
        </w:tc>
        <w:tc>
          <w:tcPr>
            <w:vAlign w:val="center"/>
          </w:tcPr>
          <w:p>
            <w:r>
              <w:t xml:space="preserve">序列编号，题注的地基</w:t>
            </w:r>
          </w:p>
        </w:tc>
        <w:tc>
          <w:tcPr>
            <w:vAlign w:val="center"/>
          </w:tcPr>
          <w:p>
            <w:r>
              <w:t xml:space="preserve">图 / 表 / 公式 / 参考文献</w:t>
            </w:r>
          </w:p>
        </w:tc>
      </w:tr>
      <w:tr>
        <w:tc>
          <w:tcPr>
            <w:vAlign w:val="center"/>
          </w:tcPr>
          <w:p>
            <w:r>
              <w:t xml:space="preserve">REF</w:t>
            </w:r>
          </w:p>
        </w:tc>
        <w:tc>
          <w:tcPr>
            <w:vAlign w:val="center"/>
          </w:tcPr>
          <w:p>
            <w:r>
              <w:t xml:space="preserve">引用书签，交叉引用的实现</w:t>
            </w:r>
          </w:p>
        </w:tc>
        <w:tc>
          <w:tcPr>
            <w:vAlign w:val="center"/>
          </w:tcPr>
          <w:p>
            <w:r>
              <w:t xml:space="preserve">全文所有交叉引用</w:t>
            </w:r>
          </w:p>
        </w:tc>
      </w:tr>
      <w:tr>
        <w:tc>
          <w:tcPr>
            <w:vAlign w:val="center"/>
          </w:tcPr>
          <w:p>
            <w:r>
              <w:t xml:space="preserve">MERGEFIELD</w:t>
            </w:r>
          </w:p>
        </w:tc>
        <w:tc>
          <w:tcPr>
            <w:vAlign w:val="center"/>
          </w:tcPr>
          <w:p>
            <w:r>
              <w:t xml:space="preserve">邮件合并域</w:t>
            </w:r>
          </w:p>
        </w:tc>
        <w:tc>
          <w:tcPr>
            <w:vAlign w:val="center"/>
          </w:tcPr>
          <w:p>
            <w:r>
              <w:t xml:space="preserve">第 8 章</w:t>
            </w:r>
          </w:p>
        </w:tc>
      </w:tr>
      <w:tr>
        <w:tc>
          <w:tcPr>
            <w:vAlign w:val="center"/>
          </w:tcPr>
          <w:p>
            <w:r>
              <w:t xml:space="preserve">IF</w:t>
            </w:r>
          </w:p>
        </w:tc>
        <w:tc>
          <w:tcPr>
            <w:vAlign w:val="center"/>
          </w:tcPr>
          <w:p>
            <w:r>
              <w:t xml:space="preserve">条件判断，可按域结果输出不同文字</w:t>
            </w:r>
          </w:p>
        </w:tc>
        <w:tc>
          <w:tcPr>
            <w:vAlign w:val="center"/>
          </w:tcPr>
          <w:p>
            <w:r>
              <w:t xml:space="preserve">第 7 章</w:t>
            </w:r>
          </w:p>
        </w:tc>
      </w:tr>
      <w:tr>
        <w:tc>
          <w:tcPr>
            <w:vAlign w:val="center"/>
          </w:tcPr>
          <w:p>
            <w:r>
              <w:t xml:space="preserve">= (Formula)</w:t>
            </w:r>
          </w:p>
        </w:tc>
        <w:tc>
          <w:tcPr>
            <w:vAlign w:val="center"/>
          </w:tcPr>
          <w:p>
            <w:r>
              <w:t xml:space="preserve">表格内公式计算</w:t>
            </w:r>
          </w:p>
        </w:tc>
        <w:tc>
          <w:tcPr>
            <w:vAlign w:val="center"/>
          </w:tcPr>
          <w:p>
            <w:r>
              <w:t xml:space="preserve">第 4 章合计行</w:t>
            </w:r>
          </w:p>
        </w:tc>
      </w:tr>
      <w:tr>
        <w:tc>
          <w:tcPr>
            <w:vAlign w:val="center"/>
          </w:tcPr>
          <w:p>
            <w:r>
              <w:t xml:space="preserve">TOC / INDEX / XE</w:t>
            </w:r>
          </w:p>
        </w:tc>
        <w:tc>
          <w:tcPr>
            <w:vAlign w:val="center"/>
          </w:tcPr>
          <w:p>
            <w:r>
              <w:t xml:space="preserve">目录 / 索引 / 索引项</w:t>
            </w:r>
          </w:p>
        </w:tc>
        <w:tc>
          <w:tcPr>
            <w:vAlign w:val="center"/>
          </w:tcPr>
          <w:p>
            <w:r>
              <w:t xml:space="preserve">目录、图表目录与索引</w:t>
            </w:r>
          </w:p>
        </w:tc>
      </w:tr>
    </w:tbl>
    <w:p>
      <w:pPr>
        <w:pStyle w:val="TableCaption"/>
      </w:pPr>
      <w:r>
        <w:t xml:space="preserve">表</w:t>
      </w:r>
      <w:r>
        <w:fldChar w:fldCharType="begin"/>
      </w:r>
      <w:r>
        <w:instrText xml:space="preserve"> SEQ _chap_Heading1 \* ARABIC \c </w:instrText>
      </w:r>
      <w:r>
        <w:fldChar w:fldCharType="separate"/>
      </w:r>
      <w:r>
        <w:t xml:space="preserve">7</w:t>
      </w:r>
      <w:r>
        <w:fldChar w:fldCharType="end"/>
      </w:r>
      <w:r>
        <w:t xml:space="preserve">.</w:t>
      </w:r>
      <w:r>
        <w:fldChar w:fldCharType="begin"/>
      </w:r>
      <w:r>
        <w:instrText xml:space="preserve"> SEQ Table \* ARABIC \s 1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</w:t>
      </w:r>
      <w:r>
        <w:t xml:space="preserve">本文档中使用到的域一览</w:t>
      </w:r>
    </w:p>
    <w:p>
      <w:pPr>
        <w:pStyle w:val="BodyText"/>
      </w:pPr>
      <w:r>
        <w:t xml:space="preserve">域的价值在于“文档被复制到别的机器后仍然正确”。作者、页码、字数、交叉引用全部当场重算，而不是留下一个过期的旧值。</w:t>
      </w:r>
    </w:p>
    <w:p>
      <w:pPr>
        <w:pStyle w:val="BodyText"/>
      </w:pPr>
      <w:r>
        <w:t xml:space="preserve">域还带格式开关：\* MERGEFORMAT 保留当前格式，\@ "yyyy年M月d日" 指定日期格式，\# "#,##0.00" 指定数字格式，\* ROMAN 与 \* ALPHABETIC 指定编号形态。同样的指令配不同开关，输出完全不同。</w:t>
      </w:r>
    </w:p>
    <w:p>
      <w:pPr>
        <w:pStyle w:val="BodyText"/>
      </w:pPr>
      <w:bookmarkStart w:id="29" w:name="slot-fieldfmt"/>
      <w:r>
        <w:t xml:space="preserve">下面每个域都带格式开关，Word 打开时按指令求值（这些不是手写死的文本）：</w:t>
      </w:r>
      <w:bookmarkEnd w:id="29"/>
    </w:p>
    <w:p xmlns:v="urn:schemas-microsoft-com:vml" xmlns:o="urn:schemas-microsoft-com:office:office">
      <w:pPr>
        <w:pStyle w:val="BodyText"/>
        <w:ind w:left="567" w:hanging="567"/>
      </w:pPr>
      <w:r>
        <w:rPr>
          <w:b/>
        </w:rPr>
        <w:t xml:space="preserve">DATE \@　</w:t>
      </w:r>
      <w:r>
        <w:fldChar w:fldCharType="begin"/>
      </w:r>
      <w:r>
        <w:instrText xml:space="preserve"> DATE \@ "yyyy年M月d日" </w:instrText>
      </w:r>
      <w:r>
        <w:fldChar w:fldCharType="separate"/>
      </w:r>
      <w:r>
        <w:t xml:space="preserve">2026年1月1日</w:t>
      </w:r>
      <w:r>
        <w:fldChar w:fldCharType="end"/>
      </w:r>
    </w:p>
    <w:p xmlns:v="urn:schemas-microsoft-com:vml" xmlns:o="urn:schemas-microsoft-com:office:office">
      <w:pPr>
        <w:pStyle w:val="BodyText"/>
        <w:ind w:left="567" w:hanging="567"/>
      </w:pPr>
      <w:r>
        <w:rPr>
          <w:b/>
        </w:rPr>
        <w:t xml:space="preserve">TIME \@　</w:t>
      </w:r>
      <w:r>
        <w:fldChar w:fldCharType="begin"/>
      </w:r>
      <w:r>
        <w:instrText xml:space="preserve"> TIME \@ "HH:mm:ss" </w:instrText>
      </w:r>
      <w:r>
        <w:fldChar w:fldCharType="separate"/>
      </w:r>
      <w:r>
        <w:t xml:space="preserve">00:00:00</w:t>
      </w:r>
      <w:r>
        <w:fldChar w:fldCharType="end"/>
      </w:r>
    </w:p>
    <w:p xmlns:v="urn:schemas-microsoft-com:vml" xmlns:o="urn:schemas-microsoft-com:office:office">
      <w:pPr>
        <w:pStyle w:val="BodyText"/>
        <w:ind w:left="567" w:hanging="567"/>
      </w:pPr>
      <w:r>
        <w:rPr>
          <w:b/>
        </w:rPr>
        <w:t xml:space="preserve">AUTHOR　</w:t>
      </w:r>
      <w:r>
        <w:fldChar w:fldCharType="begin"/>
      </w:r>
      <w:r>
        <w:instrText xml:space="preserve"> AUTHOR \* MERGEFORMAT </w:instrText>
      </w:r>
      <w:r>
        <w:fldChar w:fldCharType="separate"/>
      </w:r>
      <w:r>
        <w:t xml:space="preserve">作者</w:t>
      </w:r>
      <w:r>
        <w:fldChar w:fldCharType="end"/>
      </w:r>
    </w:p>
    <w:p xmlns:v="urn:schemas-microsoft-com:vml" xmlns:o="urn:schemas-microsoft-com:office:office">
      <w:pPr>
        <w:pStyle w:val="BodyText"/>
        <w:ind w:left="567" w:hanging="567"/>
      </w:pPr>
      <w:r>
        <w:rPr>
          <w:b/>
        </w:rPr>
        <w:t xml:space="preserve">FILENAME \p　</w:t>
      </w:r>
      <w:r>
        <w:fldChar w:fldCharType="begin"/>
      </w:r>
      <w:r>
        <w:instrText xml:space="preserve"> FILENAME \p </w:instrText>
      </w:r>
      <w:r>
        <w:fldChar w:fldCharType="separate"/>
      </w:r>
      <w:r>
        <w:t xml:space="preserve">文件路径</w:t>
      </w:r>
      <w:r>
        <w:fldChar w:fldCharType="end"/>
      </w:r>
    </w:p>
    <w:p xmlns:v="urn:schemas-microsoft-com:vml" xmlns:o="urn:schemas-microsoft-com:office:office">
      <w:pPr>
        <w:pStyle w:val="BodyText"/>
        <w:ind w:left="567" w:hanging="567"/>
      </w:pPr>
      <w:r>
        <w:rPr>
          <w:b/>
        </w:rPr>
        <w:t xml:space="preserve">NUMWORDS \#　</w:t>
      </w:r>
      <w:r>
        <w:fldChar w:fldCharType="begin"/>
      </w:r>
      <w:r>
        <w:instrText xml:space="preserve"> NUMWORDS \# "#,##0" </w:instrText>
      </w:r>
      <w:r>
        <w:fldChar w:fldCharType="separate"/>
      </w:r>
      <w:r>
        <w:t xml:space="preserve">0</w:t>
      </w:r>
      <w:r>
        <w:fldChar w:fldCharType="end"/>
      </w:r>
    </w:p>
    <w:p xmlns:v="urn:schemas-microsoft-com:vml" xmlns:o="urn:schemas-microsoft-com:office:office">
      <w:pPr>
        <w:pStyle w:val="BodyText"/>
        <w:ind w:left="567" w:hanging="567"/>
      </w:pPr>
      <w:r>
        <w:rPr>
          <w:b/>
        </w:rPr>
        <w:t xml:space="preserve">NUMCHARS \#　</w:t>
      </w:r>
      <w:r>
        <w:fldChar w:fldCharType="begin"/>
      </w:r>
      <w:r>
        <w:instrText xml:space="preserve"> NUMCHARS \# "#,##0" </w:instrText>
      </w:r>
      <w:r>
        <w:fldChar w:fldCharType="separate"/>
      </w:r>
      <w:r>
        <w:t xml:space="preserve">0</w:t>
      </w:r>
      <w:r>
        <w:fldChar w:fldCharType="end"/>
      </w:r>
    </w:p>
    <w:p xmlns:v="urn:schemas-microsoft-com:vml" xmlns:o="urn:schemas-microsoft-com:office:office">
      <w:pPr>
        <w:pStyle w:val="BodyText"/>
        <w:ind w:left="567" w:hanging="567"/>
      </w:pPr>
      <w:r>
        <w:rPr>
          <w:b/>
        </w:rPr>
        <w:t xml:space="preserve">DOCVARIABLE　</w:t>
      </w:r>
      <w:r>
        <w:fldChar w:fldCharType="begin"/>
      </w:r>
      <w:r>
        <w:instrText xml:space="preserve"> DOCVARIABLE 项目名称 </w:instrText>
      </w:r>
      <w:r>
        <w:fldChar w:fldCharType="separate"/>
      </w:r>
      <w:r>
        <w:t xml:space="preserve">项目名称</w:t>
      </w:r>
      <w:r>
        <w:fldChar w:fldCharType="end"/>
      </w:r>
    </w:p>
    <w:p xmlns:v="urn:schemas-microsoft-com:vml" xmlns:o="urn:schemas-microsoft-com:office:office">
      <w:pPr>
        <w:pStyle w:val="BodyText"/>
        <w:ind w:left="567" w:hanging="567"/>
      </w:pPr>
      <w:r>
        <w:rPr>
          <w:b/>
        </w:rPr>
        <w:t xml:space="preserve">IF … = …　</w:t>
      </w:r>
      <w:r>
        <w:fldChar w:fldCharType="begin"/>
      </w:r>
      <w:r>
        <w:instrText xml:space="preserve"> IF 1 = 1 "条件成立：走真分支" "条件不成立：走假分支" </w:instrText>
      </w:r>
      <w:r>
        <w:fldChar w:fldCharType="separate"/>
      </w:r>
      <w:r>
        <w:t xml:space="preserve">条件成立</w:t>
      </w:r>
      <w:r>
        <w:fldChar w:fldCharType="end"/>
      </w:r>
    </w:p>
    <w:p xmlns:v="urn:schemas-microsoft-com:vml" xmlns:o="urn:schemas-microsoft-com:office:office">
      <w:pPr>
        <w:pStyle w:val="BodyText"/>
        <w:ind w:left="567" w:hanging="567"/>
      </w:pPr>
      <w:r>
        <w:rPr>
          <w:b/>
        </w:rPr>
        <w:t xml:space="preserve">= 12*12 \#　</w:t>
      </w:r>
      <w:r>
        <w:fldChar w:fldCharType="begin"/>
      </w:r>
      <w:r>
        <w:instrText xml:space="preserve"> = 12*12 \# "#,##0" </w:instrText>
      </w:r>
      <w:r>
        <w:fldChar w:fldCharType="separate"/>
      </w:r>
      <w:r>
        <w:t xml:space="preserve">144</w:t>
      </w:r>
      <w:r>
        <w:fldChar w:fldCharType="end"/>
      </w:r>
    </w:p>
    <w:p xmlns:v="urn:schemas-microsoft-com:vml" xmlns:o="urn:schemas-microsoft-com:office:office">
      <w:pPr>
        <w:pStyle w:val="BodyText"/>
        <w:ind w:left="567" w:hanging="567"/>
      </w:pPr>
      <w:r>
        <w:rPr>
          <w:b/>
        </w:rPr>
        <w:t xml:space="preserve">SEQ \* ARABIC　</w:t>
      </w:r>
      <w:r>
        <w:fldChar w:fldCharType="begin"/>
      </w:r>
      <w:r>
        <w:instrText xml:space="preserve"> SEQ 演示序号 \* ARABIC </w:instrText>
      </w:r>
      <w:r>
        <w:fldChar w:fldCharType="separate"/>
      </w:r>
      <w:r>
        <w:t xml:space="preserve">1</w:t>
      </w:r>
      <w:r>
        <w:fldChar w:fldCharType="end"/>
      </w:r>
    </w:p>
    <w:p xmlns:v="urn:schemas-microsoft-com:vml" xmlns:o="urn:schemas-microsoft-com:office:office">
      <w:pPr>
        <w:pStyle w:val="BodyText"/>
        <w:ind w:left="567" w:hanging="567"/>
      </w:pPr>
      <w:r>
        <w:rPr>
          <w:b/>
        </w:rPr>
        <w:t xml:space="preserve">QUOTE　</w:t>
      </w:r>
      <w:r>
        <w:fldChar w:fldCharType="begin"/>
      </w:r>
      <w:r>
        <w:instrText xml:space="preserve"> QUOTE "域可以原样输出一段被引用的文字" </w:instrText>
      </w:r>
      <w:r>
        <w:fldChar w:fldCharType="separate"/>
      </w:r>
      <w:r>
        <w:t xml:space="preserve">引用文字</w:t>
      </w:r>
      <w:r>
        <w:fldChar w:fldCharType="end"/>
      </w:r>
    </w:p>
    <w:p>
      <w:pPr>
        <w:pStyle w:val="Heading2"/>
      </w:pPr>
      <w:r>
        <w:t xml:space="preserve">自动更正</w:t>
      </w:r>
    </w:p>
    <w:p>
      <w:pPr>
        <w:pStyle w:val="BodyText"/>
      </w:pPr>
      <w:r>
        <w:t xml:space="preserve">自动更正是应用级设置：规则存放在 Word 的用户配置与 .acl 文件里，OOXML 文档中没有对应的存储位置。也就是说“输入 adn 自动变成 and”这类规则无法随文档分发，只能各自在选项里维护。</w:t>
      </w:r>
    </w:p>
    <w:p>
      <w:pPr>
        <w:pStyle w:val="Heading2"/>
      </w:pPr>
      <w:r>
        <w:t xml:space="preserve">自定义词典与同义词库</w:t>
      </w:r>
    </w:p>
    <w:p>
      <w:pPr>
        <w:pStyle w:val="BodyText"/>
      </w:pPr>
      <w:r>
        <w:t xml:space="preserve">同义词库同样属于应用层，文档里没有它的一席之地。自定义词典的情况值得说明：Word 界面上确实能把词典加进文档，但落点不是标准定义的部件，ECMA-376 的 wml.xsd 里查不到 customDictionary 元素，写进去会被 XSD 校验判为非法。因此这一项按“不可实现”处理，需要拼写词典时随身带走的场合，只能改用外部工具或把词表写进自定义 XML 部件自行维护。</w:t>
      </w:r>
    </w:p>
    <w:p>
      <w:pPr>
        <w:pStyle w:val="Heading1"/>
      </w:pPr>
      <w:r>
        <w:t xml:space="preserve">批量与自动化</w:t>
      </w:r>
    </w:p>
    <w:p>
      <w:pPr>
        <w:pStyle w:val="_HiddenChapterCounter"/>
        <w:rPr>
          <w:vanish/>
        </w:rPr>
      </w:pPr>
      <w:r>
        <w:rPr>
          <w:vanish/>
        </w:rPr>
        <w:fldChar w:fldCharType="begin"/>
      </w:r>
      <w:r>
        <w:rPr>
          <w:vanish/>
        </w:rPr>
        <w:instrText xml:space="preserve"> SEQ _chap_Heading1 \* ARABIC </w:instrText>
      </w:r>
      <w:r>
        <w:rPr>
          <w:vanish/>
        </w:rPr>
        <w:fldChar w:fldCharType="separate"/>
      </w:r>
      <w:r>
        <w:rPr>
          <w:vanish/>
        </w:rPr>
        <w:t xml:space="preserve"/>
      </w:r>
      <w:r>
        <w:rPr>
          <w:vanish/>
        </w:rPr>
        <w:fldChar w:fldCharType="end"/>
      </w:r>
    </w:p>
    <w:p>
      <w:pPr>
        <w:pStyle w:val="Heading2"/>
      </w:pPr>
      <w:r>
        <w:t xml:space="preserve">邮件合并</w:t>
      </w:r>
    </w:p>
    <w:p>
      <w:pPr>
        <w:pStyle w:val="BodyText"/>
      </w:pPr>
      <w:r>
        <w:t xml:space="preserve">邮件合并文档 = 主控文档 + 数据源引用 + 合并域。主控文档侧在 settings.xml 写 w:mailMerge 配置（主文档类型、数据源类型、连接方式、输出目标），正文侧用 MERGEFIELD 域做版式化占位，每个域对应数据源的一个字段名。</w:t>
      </w:r>
    </w:p>
    <w:p>
      <w:pPr>
        <w:pStyle w:val="BodyText"/>
      </w:pPr>
      <w:r>
        <w:t xml:space="preserve">本文档写入的是一个“待选数据源”的主控文档：类型与输出目标齐备，数据源路径留空，避免打开时弹找不到文件的告警。</w:t>
      </w:r>
    </w:p>
    <w:p>
      <w:pPr>
        <w:pStyle w:val="BodyText"/>
      </w:pPr>
      <w:bookmarkStart w:id="30" w:name="slot-mailmerge"/>
      <w:r>
        <w:t xml:space="preserve">邮件合并主控文档示例——下面这段是合并后的信函版式，每个书名号里的都是 MERGEFIELD 域，对应数据源的一列：</w:t>
      </w:r>
      <w:bookmarkEnd w:id="30"/>
    </w:p>
    <w:p xmlns:v="urn:schemas-microsoft-com:vml" xmlns:o="urn:schemas-microsoft-com:office:office">
      <w:pPr>
        <w:pStyle w:val="BodyText"/>
        <w:jc w:val="right"/>
      </w:pPr>
      <w:r>
        <w:t xml:space="preserve">尊敬的 </w:t>
      </w:r>
      <w:r>
        <w:fldChar w:fldCharType="begin"/>
      </w:r>
      <w:r>
        <w:instrText xml:space="preserve"> MERGEFIELD 称呼 \* MERGEFORMAT </w:instrText>
      </w:r>
      <w:r>
        <w:fldChar w:fldCharType="separate"/>
      </w:r>
      <w:r>
        <w:t xml:space="preserve">先生/女士</w:t>
      </w:r>
      <w:r>
        <w:fldChar w:fldCharType="end"/>
      </w:r>
      <w:r>
        <w:t xml:space="preserve"> </w:t>
      </w:r>
      <w:r>
        <w:fldChar w:fldCharType="begin"/>
      </w:r>
      <w:r>
        <w:instrText xml:space="preserve"> MERGEFIELD 姓名 \* MERGEFORMAT </w:instrText>
      </w:r>
      <w:r>
        <w:fldChar w:fldCharType="separate"/>
      </w:r>
      <w:r>
        <w:t xml:space="preserve">⟨姓名⟩</w:t>
      </w:r>
      <w:r>
        <w:fldChar w:fldCharType="end"/>
      </w:r>
      <w:r>
        <w:t>：</w:t>
      </w:r>
    </w:p>
    <w:p xmlns:v="urn:schemas-microsoft-com:vml" xmlns:o="urn:schemas-microsoft-com:office:office">
      <w:pPr>
        <w:pStyle w:val="BodyText"/>
        <w:ind w:firstLineChars="200" w:firstLine="420"/>
      </w:pPr>
      <w:r>
        <w:t xml:space="preserve">您所在的 </w:t>
      </w:r>
      <w:r>
        <w:fldChar w:fldCharType="begin"/>
      </w:r>
      <w:r>
        <w:instrText xml:space="preserve"> MERGEFIELD 单位 \* MERGEFORMAT </w:instrText>
      </w:r>
      <w:r>
        <w:fldChar w:fldCharType="separate"/>
      </w:r>
      <w:r>
        <w:t xml:space="preserve">⟨单位⟩</w:t>
      </w:r>
      <w:r>
        <w:fldChar w:fldCharType="end"/>
      </w:r>
      <w:r>
        <w:t xml:space="preserve"> 的 </w:t>
      </w:r>
      <w:r>
        <w:fldChar w:fldCharType="begin"/>
      </w:r>
      <w:r>
        <w:instrText xml:space="preserve"> MERGEFIELD 项目名 \* MERGEFORMAT </w:instrText>
      </w:r>
      <w:r>
        <w:fldChar w:fldCharType="separate"/>
      </w:r>
      <w:r>
        <w:t xml:space="preserve">⟨项目名⟩</w:t>
      </w:r>
      <w:r>
        <w:fldChar w:fldCharType="end"/>
      </w:r>
      <w:r>
        <w:t xml:space="preserve"> 项目，合同金额 </w:t>
      </w:r>
      <w:r>
        <w:fldChar w:fldCharType="begin"/>
      </w:r>
      <w:r>
        <w:instrText xml:space="preserve"> MERGEFIELD 金额 \# "#,##0.00" </w:instrText>
      </w:r>
      <w:r>
        <w:fldChar w:fldCharType="separate"/>
      </w:r>
      <w:r>
        <w:t xml:space="preserve">⟨金额⟩</w:t>
      </w:r>
      <w:r>
        <w:fldChar w:fldCharType="end"/>
      </w:r>
      <w:r>
        <w:t xml:space="preserve"> 元，请于 </w:t>
      </w:r>
      <w:r>
        <w:fldChar w:fldCharType="begin"/>
      </w:r>
      <w:r>
        <w:instrText xml:space="preserve"> MERGEFIELD 截止日期 \@ "yyyy年M月d日" </w:instrText>
      </w:r>
      <w:r>
        <w:fldChar w:fldCharType="separate"/>
      </w:r>
      <w:r>
        <w:t xml:space="preserve">⟨日期⟩</w:t>
      </w:r>
      <w:r>
        <w:fldChar w:fldCharType="end"/>
      </w:r>
      <w:r>
        <w:t xml:space="preserve"> 前确认。</w:t>
      </w:r>
    </w:p>
    <w:p xmlns:v="urn:schemas-microsoft-com:vml" xmlns:o="urn:schemas-microsoft-com:office:office">
      <w:pPr>
        <w:pStyle w:val="BodyText"/>
        <w:jc w:val="right"/>
      </w:pPr>
      <w:r>
        <w:t>docx-master 演示项目组</w:t>
      </w:r>
    </w:p>
    <w:p xmlns:v="urn:schemas-microsoft-com:vml" xmlns:o="urn:schemas-microsoft-com:office:office">
      <w:pPr>
        <w:pStyle w:val="BodyText"/>
      </w:pPr>
      <w:r>
        <w:t xml:space="preserve">合并域共 6 处：称呼、姓名、单位、项目名、金额、截止日期。金额带 \# 数字格式，日期带 \@ 日期格式；settings.xml 里已写入 w:mailMerge（主文档类型 formLetters，输出目标 newDocument）。数据源路径留空，是为了避免每次打开都弹“找不到数据源”的告警——接上真实数据源时补一个 w:dataSource 即可。</w:t>
      </w:r>
    </w:p>
    <w:p>
      <w:pPr>
        <w:pStyle w:val="Heading2"/>
      </w:pPr>
      <w:r>
        <w:t xml:space="preserve">信封与标签批量打印</w:t>
      </w:r>
    </w:p>
    <w:p>
      <w:pPr>
        <w:pStyle w:val="BodyText"/>
      </w:pPr>
      <w:r>
        <w:t xml:space="preserve">信封本质上是一个独立节：纸张尺寸直接设成信封规格（例如 C5 为 229×162mm），配好页边距与送纸方向，再把收件人地址段做成合并域。标签则用固定网格的表格实现，每格尺寸与间距按标签订单（例如 A4 上的 3×10 布局）精确设置。两者都是“版式 + 邮件合并”的组合，本身没有额外的机制。</w:t>
      </w:r>
    </w:p>
    <w:p>
      <w:pPr>
        <w:pStyle w:val="BodyText"/>
      </w:pPr>
      <w:bookmarkStart w:id="31" w:name="slot-envelope"/>
      <w:r>
        <w:t xml:space="preserve">信封版式节（C5 信封 229×162mm，横向，小边距，地址区用合并域）：</w:t>
      </w:r>
      <w:bookmarkEnd w:id="31"/>
    </w:p>
    <w:p xmlns:v="urn:schemas-microsoft-com:vml" xmlns:o="urn:schemas-microsoft-com:office:office">
      <w:pPr>
        <w:sectPr>
          <w:headerReference w:type="default" r:id="rId7"/>
          <w:headerReference w:type="first" r:id="rId8"/>
          <w:headerReference w:type="even" r:id="rId9"/>
          <w:footerReference w:type="default" r:id="rId10"/>
          <w:footerReference w:type="first" r:id="rId11"/>
          <w:pgSz w:w="11906" w:h="16838"/>
          <w:pgMar w:top="1440" w:right="1797" w:bottom="1440" w:left="1797" w:header="851" w:footer="992" w:gutter="283"/>
          <w:pgNumType w:fmt="decimal" w:start="1"/>
          <w:cols w:space="425"/>
          <w:titlePg/>
          <w:docGrid w:type="lines" w:linePitch="312"/>
        </w:sectPr>
      </w:pPr>
    </w:p>
    <w:p xmlns:v="urn:schemas-microsoft-com:vml" xmlns:o="urn:schemas-microsoft-com:office:office">
      <w:pPr>
        <w:pStyle w:val="BodyText"/>
        <w:spacing w:before="1200"/>
        <w:ind w:left="2835"/>
      </w:pPr>
      <w:r>
        <w:rPr>
          <w:sz w:val="24"/>
        </w:rPr>
        <w:t>收件人：</w:t>
      </w:r>
      <w:r>
        <w:fldChar w:fldCharType="begin"/>
      </w:r>
      <w:r>
        <w:instrText xml:space="preserve"> MERGEFIELD 姓名 \* MERGEFORMAT </w:instrText>
      </w:r>
      <w:r>
        <w:fldChar w:fldCharType="separate"/>
      </w:r>
      <w:r>
        <w:t xml:space="preserve">⟨姓名⟩</w:t>
      </w:r>
      <w:r>
        <w:fldChar w:fldCharType="end"/>
      </w:r>
    </w:p>
    <w:p xmlns:v="urn:schemas-microsoft-com:vml" xmlns:o="urn:schemas-microsoft-com:office:office">
      <w:pPr>
        <w:pStyle w:val="BodyText"/>
        <w:ind w:left="2835"/>
      </w:pPr>
      <w:r>
        <w:rPr>
          <w:sz w:val="21"/>
        </w:rPr>
        <w:t>地址：</w:t>
      </w:r>
      <w:r>
        <w:fldChar w:fldCharType="begin"/>
      </w:r>
      <w:r>
        <w:instrText xml:space="preserve"> MERGEFIELD 地址 \* MERGEFORMAT </w:instrText>
      </w:r>
      <w:r>
        <w:fldChar w:fldCharType="separate"/>
      </w:r>
      <w:r>
        <w:t xml:space="preserve">⟨地址⟩</w:t>
      </w:r>
      <w:r>
        <w:fldChar w:fldCharType="end"/>
      </w:r>
      <w:r>
        <w:t>　邮编：</w:t>
      </w:r>
      <w:r>
        <w:fldChar w:fldCharType="begin"/>
      </w:r>
      <w:r>
        <w:instrText xml:space="preserve"> MERGEFIELD 邮编 \* MERGEFORMAT </w:instrText>
      </w:r>
      <w:r>
        <w:fldChar w:fldCharType="separate"/>
      </w:r>
      <w:r>
        <w:t xml:space="preserve">⟨邮编⟩</w:t>
      </w:r>
      <w:r>
        <w:fldChar w:fldCharType="end"/>
      </w:r>
    </w:p>
    <w:p xmlns:v="urn:schemas-microsoft-com:vml" xmlns:o="urn:schemas-microsoft-com:office:office">
      <w:pPr>
        <w:ind w:left="5670" w:firstLine="0"/>
        <w:sectPr>
          <w:pgSz w:w="12970" w:h="9180"/>
          <w:pgMar w:top="567" w:right="567" w:bottom="567" w:left="567" w:header="284" w:footer="284" w:gutter="0"/>
          <w:cols w:space="708"/>
          <w:docGrid w:linePitch="312"/>
        </w:sectPr>
      </w:pPr>
      <w:r>
        <w:t xml:space="preserve">　</w:t>
      </w:r>
    </w:p>
    <w:p>
      <w:pPr>
        <w:pStyle w:val="Heading2"/>
      </w:pPr>
      <w:r>
        <w:t xml:space="preserve">宏</w:t>
      </w:r>
    </w:p>
    <w:p>
      <w:pPr>
        <w:pStyle w:val="BodyText"/>
      </w:pPr>
      <w:r>
        <w:t xml:space="preserve">宏本体是 vbaProject.bin，一个压缩过的 OLE 复合文档，无法以明文构造；文档侧只能保留一个调用点。何况带宏文档会被多数邮件网关直接拦截，从交付安全角度也不该做。结论：宏在本文档的实现范围之外。</w:t>
      </w:r>
    </w:p>
    <w:p>
      <w:pPr>
        <w:pStyle w:val="Heading1"/>
      </w:pPr>
      <w:r>
        <w:t xml:space="preserve">链接与导航</w:t>
      </w:r>
    </w:p>
    <w:p>
      <w:pPr>
        <w:pStyle w:val="_HiddenChapterCounter"/>
        <w:rPr>
          <w:vanish/>
        </w:rPr>
      </w:pPr>
      <w:r>
        <w:rPr>
          <w:vanish/>
        </w:rPr>
        <w:fldChar w:fldCharType="begin"/>
      </w:r>
      <w:r>
        <w:rPr>
          <w:vanish/>
        </w:rPr>
        <w:instrText xml:space="preserve"> SEQ _chap_Heading1 \* ARABIC </w:instrText>
      </w:r>
      <w:r>
        <w:rPr>
          <w:vanish/>
        </w:rPr>
        <w:fldChar w:fldCharType="separate"/>
      </w:r>
      <w:r>
        <w:rPr>
          <w:vanish/>
        </w:rPr>
        <w:t xml:space="preserve"/>
      </w:r>
      <w:r>
        <w:rPr>
          <w:vanish/>
        </w:rPr>
        <w:fldChar w:fldCharType="end"/>
      </w:r>
    </w:p>
    <w:p>
      <w:pPr>
        <w:pStyle w:val="Heading2"/>
      </w:pPr>
      <w:r>
        <w:t xml:space="preserve">超链接</w:t>
      </w:r>
    </w:p>
    <w:p>
      <w:pPr>
        <w:pStyle w:val="BodyText"/>
      </w:pPr>
      <w:r>
        <w:t xml:space="preserve">外部链接由关系项承载：正文只存一个 r:id，真实地址放在关系文件里，改地址不用动正文。外部示例：</w:t>
      </w:r>
    </w:p>
    <w:p>
      <w:pPr>
        <w:pStyle w:val="BodyText"/>
      </w:pPr>
      <w:r>
        <w:t xml:space="preserve">官方标准入口 </w:t>
      </w:r>
      <w:hyperlink r:id="rId5" w:history="1">
        <w:r>
          <w:rPr>
            <w:rStyle w:val="Hyperlink"/>
          </w:rPr>
          <w:t xml:space="preserve">ECMA-376 标准页</w:t>
        </w:r>
      </w:hyperlink>
      <w:r>
        <w:t xml:space="preserve">；邮件地址用 mailto： </w:t>
      </w:r>
      <w:hyperlink r:id="rId6" w:history="1">
        <w:r>
          <w:rPr>
            <w:rStyle w:val="Hyperlink"/>
          </w:rPr>
          <w:t xml:space="preserve">demo@example.com</w:t>
        </w:r>
      </w:hyperlink>
    </w:p>
    <w:p>
      <w:pPr>
        <w:pStyle w:val="BodyText"/>
      </w:pPr>
      <w:r>
        <w:t xml:space="preserve">内部跳转直接指向书签，不经过外部资源，文档离线也能用：</w:t>
      </w:r>
    </w:p>
    <w:p>
      <w:pPr>
        <w:pStyle w:val="BodyText"/>
      </w:pPr>
      <w:hyperlink w:anchor="fig-insert">
        <w:r>
          <w:rPr>
            <w:rStyle w:val="Hyperlink"/>
          </w:rPr>
          <w:t xml:space="preserve">→ 跳到本批新增的插图</w:t>
        </w:r>
      </w:hyperlink>
      <w:r>
        <w:t xml:space="preserve">；</w:t>
      </w:r>
      <w:hyperlink w:anchor="eq-omath">
        <w:r>
          <w:rPr>
            <w:rStyle w:val="Hyperlink"/>
          </w:rPr>
          <w:t xml:space="preserve">→ 跳到本批新增的公式</w:t>
        </w:r>
      </w:hyperlink>
    </w:p>
    <w:p>
      <w:pPr>
        <w:pStyle w:val="BodyText"/>
      </w:pPr>
      <w:r>
        <w:t xml:space="preserve">可见文字由作者给，超链接字符样式（蓝色 + 下划线）自动套用；内部引用如果要用“目标自动编号”作为显示文字，就该改用 REF 域而不是超链接。</w:t>
      </w:r>
    </w:p>
    <w:p>
      <w:pPr>
        <w:pStyle w:val="Heading2"/>
      </w:pPr>
      <w:r>
        <w:t xml:space="preserve">大纲级别与导航窗格</w:t>
      </w:r>
    </w:p>
    <w:p>
      <w:pPr>
        <w:pStyle w:val="BodyText"/>
      </w:pPr>
      <w:r>
        <w:t xml:space="preserve">导航窗格读的是段落的 outlineLevel，不是“长得像标题”。标题样式自带级别（Heading1 为 0 级），普通段落也能通过 paraFormat.outlineLevel 手动取得大纲级别，从而出现在导航窗格与大纲视图里：</w:t>
      </w:r>
    </w:p>
    <w:p>
      <w:pPr>
        <w:pStyle w:val="BodyText"/>
        <w:outlineLvl w:val="2"/>
      </w:pPr>
      <w:r>
        <w:t xml:space="preserve">这一段的样式是正文，但通过 outlineLevel = 2 取得了三级大纲级别，可以出现在导航窗格中。</w:t>
      </w:r>
    </w:p>
    <w:p>
      <w:pPr>
        <w:pStyle w:val="BodyText"/>
      </w:pPr>
      <w:r>
        <w:t xml:space="preserve">文档打开时的默认视图同样由 settings.xml 决定（w:view 可设为普通、大纲、页面等），配合保存时的缩放比例与窗口位置，能固定评审人上手时的视角。</w:t>
      </w:r>
    </w:p>
    <w:p>
      <w:pPr>
        <w:pStyle w:val="Heading2"/>
      </w:pPr>
      <w:r>
        <w:t xml:space="preserve">书签与交叉引用</w:t>
      </w:r>
    </w:p>
    <w:p>
      <w:pPr>
        <w:pStyle w:val="BodyText"/>
      </w:pPr>
      <w:r>
        <w:t xml:space="preserve">书签是内部跳转与 REF 域的共同地基。本文档里的每个交叉引用、每个题注、每个内部超链接，背后都是一个 bookmarkStart/bookmarkEnd 对；其中一部分由引擎在生成题注时自动埋设，另一部分由后处理补丁为特殊元件补上。</w:t>
      </w:r>
    </w:p>
    <w:p>
      <w:pPr>
        <w:pStyle w:val="Heading1"/>
      </w:pPr>
      <w:r>
        <w:t xml:space="preserve">输出、打印与校对</w:t>
      </w:r>
    </w:p>
    <w:p>
      <w:pPr>
        <w:pStyle w:val="_HiddenChapterCounter"/>
        <w:rPr>
          <w:vanish/>
        </w:rPr>
      </w:pPr>
      <w:r>
        <w:rPr>
          <w:vanish/>
        </w:rPr>
        <w:fldChar w:fldCharType="begin"/>
      </w:r>
      <w:r>
        <w:rPr>
          <w:vanish/>
        </w:rPr>
        <w:instrText xml:space="preserve"> SEQ _chap_Heading1 \* ARABIC </w:instrText>
      </w:r>
      <w:r>
        <w:rPr>
          <w:vanish/>
        </w:rPr>
        <w:fldChar w:fldCharType="separate"/>
      </w:r>
      <w:r>
        <w:rPr>
          <w:vanish/>
        </w:rPr>
        <w:t xml:space="preserve"/>
      </w:r>
      <w:r>
        <w:rPr>
          <w:vanish/>
        </w:rPr>
        <w:fldChar w:fldCharType="end"/>
      </w:r>
    </w:p>
    <w:p>
      <w:pPr>
        <w:pStyle w:val="Heading2"/>
      </w:pPr>
      <w:r>
        <w:t xml:space="preserve">打印设置</w:t>
      </w:r>
    </w:p>
    <w:p>
      <w:pPr>
        <w:pStyle w:val="BodyText"/>
      </w:pPr>
      <w:r>
        <w:t xml:space="preserve">文档内能表达的打印意图只有一部分，而且必须诚实区分。可以写进 settings.xml 的有：每张两页缩打（w:printTwoOnOne）、书籍折页与折页张数（w:bookFoldPrinting / w:bookFoldPrintingSheets）、只打印表单数据（w:printFormsData）、PostScript 文字覆盖（w:printPostScriptOverText）。</w:t>
      </w:r>
    </w:p>
    <w:p>
      <w:pPr>
        <w:pStyle w:val="BodyText"/>
      </w:pPr>
      <w:r>
        <w:t xml:space="preserve">而双面打印、纸盘选择、打印质量、缩放百分比这些，OOXML 把它们交给 printerSettings.bin——一个 DEVMODE 二进制块。它依赖具体打印机的驱动，换台机器就没有意义，所以本文档不写它，双面在打印对话框里勾选即可。</w:t>
      </w:r>
    </w:p>
    <w:p>
      <w:pPr>
        <w:pStyle w:val="BodyText"/>
      </w:pPr>
      <w:bookmarkStart w:id="32" w:name="slot-print"/>
      <w:r>
        <w:t xml:space="preserve">（打印设置项——由后处理补丁插入）</w:t>
      </w:r>
      <w:bookmarkEnd w:id="32"/>
    </w:p>
    <w:p>
      <w:pPr>
        <w:pStyle w:val="Heading2"/>
      </w:pPr>
      <w:r>
        <w:t xml:space="preserve">导出 PDF / XPS</w:t>
      </w:r>
    </w:p>
    <w:p>
      <w:pPr>
        <w:pStyle w:val="BodyText"/>
      </w:pPr>
      <w:r>
        <w:t xml:space="preserve">导出是应用行为：docx 里没有“导出设置”部件。无人值守导出必须借助转换器——Word COM 自动化、LibreOffice 的 --convert-to pdf、或者 Aspose 之类的商业库。本机三者都没有，所以这一步在本环境内无法执行，只能给出命令供你按需安装。</w:t>
      </w:r>
    </w:p>
    <w:p>
      <w:pPr>
        <w:pStyle w:val="BodyText"/>
      </w:pPr>
      <w:r>
        <w:t xml:space="preserve">文档侧能做的是把“给转换器看的东西”准备好：标题样式与大纲级别齐备（PDF 书签就来自这里）、字体全部为系统通用字体（避免替换）、域结果已经刷新（否则导出的是占位文字）。</w:t>
      </w:r>
    </w:p>
    <w:p>
      <w:pPr>
        <w:pStyle w:val="Heading2"/>
      </w:pPr>
      <w:r>
        <w:t xml:space="preserve">拼写与语法检查、文档校对</w:t>
      </w:r>
    </w:p>
    <w:p>
      <w:pPr>
        <w:pStyle w:val="BodyText"/>
      </w:pPr>
      <w:r>
        <w:t xml:space="preserve">settings.xml 提供 w:proofState（拼写与语法的检查状态）、w:hideSpellingErrors、w:hideGrammaticalErrors，可以控制打开时是否显示波浪线；真正的检查仍然依赖 Word 的语言学服务或外部拼写引擎。引擎侧能做的是结构校对：样式缺失、域未闭合、编号断链、关系指向不存在的部件——这类错误比错别字更致命。</w:t>
      </w:r>
    </w:p>
    <w:p>
      <w:pPr>
        <w:pStyle w:val="BodyText"/>
      </w:pPr>
      <w:bookmarkStart w:id="33" w:name="slot-proof"/>
      <w:r>
        <w:t xml:space="preserve">（校对状态设置——由后处理补丁插入）</w:t>
      </w:r>
      <w:bookmarkEnd w:id="33"/>
    </w:p>
    <w:p>
      <w:pPr>
        <w:pStyle w:val="Heading2"/>
      </w:pPr>
      <w:r>
        <w:t xml:space="preserve">字数统计</w:t>
      </w:r>
    </w:p>
    <w:p>
      <w:pPr>
        <w:pStyle w:val="BodyText"/>
      </w:pPr>
      <w:r>
        <w:t xml:space="preserve">文档里存的是统计快照，位置在 docProps/app.xml（Pages / Words / Characters / Paragraphs / Lines），Word 重新保存时会刷新。也就是说它不是实时值，但足够让资源管理器与文件列表显示字数。引擎侧则按同一口径实算一遍，供校对。</w:t>
      </w:r>
    </w:p>
    <w:p>
      <w:pPr>
        <w:pStyle w:val="BodyText"/>
      </w:pPr>
      <w:bookmarkStart w:id="34" w:name="slot-wordcount"/>
      <w:r>
        <w:t xml:space="preserve">（字数统计元数据——由后处理补丁插入）</w:t>
      </w:r>
      <w:bookmarkEnd w:id="34"/>
    </w:p>
    <w:p>
      <w:pPr>
        <w:pStyle w:val="Heading2"/>
      </w:pPr>
      <w:r>
        <w:t xml:space="preserve">多语言与双向文字</w:t>
      </w:r>
    </w:p>
    <w:p>
      <w:pPr>
        <w:pStyle w:val="BodyText"/>
      </w:pPr>
      <w:r>
        <w:t xml:space="preserve">每个 run 的 w:lang 可以分别指定拉丁文、东亚、复杂文种三种语言标签，拼写检查与字体回退各按各的语言走；w:rtl 让一段或一个 run 走从右到左；表格用 w:bidiVisual 整体镜像列序。下面的段落就是一段双向文字，它的排版方向与整篇文档相反。</w:t>
      </w:r>
    </w:p>
    <w:p>
      <w:pPr>
        <w:pStyle w:val="BodyText"/>
      </w:pPr>
      <w:bookmarkStart w:id="35" w:name="slot-bidi"/>
      <w:r>
        <w:t xml:space="preserve">双向文字（bidi）：下面两段的方向与整篇文档相反，第二段是镜像列序的表格。</w:t>
      </w:r>
      <w:bookmarkEnd w:id="35"/>
    </w:p>
    <w:p xmlns:v="urn:schemas-microsoft-com:vml" xmlns:o="urn:schemas-microsoft-com:office:office">
      <w:pPr>
        <w:pStyle w:val="BodyText"/>
        <w:bidi/>
        <w:jc w:val="right"/>
      </w:pPr>
      <w:r>
        <w:rPr>
          <w:rtl/>
          <w:lang w:bidi="he-IL"/>
        </w:rPr>
        <w:t>שלום עולם — 这是一段右起横排文本（RTL），标点与数字的位置会自动镜像。Israel 2026 · 12345</w:t>
      </w:r>
    </w:p>
    <w:tbl xmlns:v="urn:schemas-microsoft-com:vml" xmlns:o="urn:schemas-microsoft-com:office:office">
      <w:tblPr>
        <w:bidiVisual/>
        <w:tblW w:w="0" w:type="auto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00"/>
        <w:gridCol w:w="2600"/>
        <w:gridCol w:w="2600"/>
      </w:tblGrid>
      <w:tr>
        <w:tc>
          <w:tcPr>
            <w:tcW w:w="2600" w:type="dxa"/>
          </w:tcPr>
          <w:p>
            <w:pPr>
              <w:bidi/>
            </w:pPr>
            <w:r>
              <w:rPr>
                <w:rtl/>
              </w:rPr>
              <w:t>العمود الأول</w:t>
            </w:r>
          </w:p>
        </w:tc>
        <w:tc>
          <w:tcPr>
            <w:tcW w:w="2600" w:type="dxa"/>
          </w:tcPr>
          <w:p>
            <w:pPr>
              <w:bidi/>
            </w:pPr>
            <w:r>
              <w:rPr>
                <w:rtl/>
              </w:rPr>
              <w:t>العمود الثاني</w:t>
            </w:r>
          </w:p>
        </w:tc>
        <w:tc>
          <w:tcPr>
            <w:tcW w:w="2600" w:type="dxa"/>
          </w:tcPr>
          <w:p>
            <w:pPr>
              <w:bidi/>
            </w:pPr>
            <w:r>
              <w:rPr>
                <w:rtl/>
              </w:rPr>
              <w:t>العمود الثالث</w:t>
            </w:r>
          </w:p>
        </w:tc>
      </w:tr>
    </w:tbl>
    <w:p xmlns:v="urn:schemas-microsoft-com:vml" xmlns:o="urn:schemas-microsoft-com:office:office">
      <w:pPr>
        <w:pStyle w:val="BodyText"/>
      </w:pPr>
      <w:r>
        <w:t xml:space="preserve">上面的表格启用了 tblPr/bidiVisual：列序在视觉上整体镜像（第一个单元格显示在最右侧），单元格内的段落再各自加 bidi，文字方向由 w:rtl 控制。多语言支持则是每个 run 的 w:lang 分设拉丁文 / 东亚 / 复杂文种三种标签，拼写检查与字体回退各按各的语言走。</w:t>
      </w:r>
    </w:p>
    <w:p>
      <w:pPr>
        <w:pStyle w:val="Heading2"/>
      </w:pPr>
      <w:r>
        <w:t xml:space="preserve">自定义 XML 部件</w:t>
      </w:r>
    </w:p>
    <w:p>
      <w:pPr>
        <w:pStyle w:val="BodyText"/>
      </w:pPr>
      <w:r>
        <w:t xml:space="preserve">CustomXml 部件（customXml/item1.xml 加 itemProps1.xml）能让文档携带任意业务数据，内容控件可以绑定到它的 XPath 上，从而实现“表单填完、数据同步取走”的闭环。这部分是完全标准的明文 XML，可靠性很高。</w:t>
      </w:r>
    </w:p>
    <w:p>
      <w:pPr>
        <w:pStyle w:val="BodyText"/>
      </w:pPr>
      <w:bookmarkStart w:id="36" w:name="slot-customxml"/>
      <w:r>
        <w:t xml:space="preserve">CustomXml 部件（word/customXml/item1.xml + itemProps1.xml）已写入包内，携带业务数据；下面的表格就是这份 XML 的内容，内容控件可以通过 XPath 直接绑定到这些节点：</w:t>
      </w:r>
      <w:bookmarkEnd w:id="36"/>
    </w:p>
    <w:tbl xmlns:v="urn:schemas-microsoft-com:vml" xmlns:o="urn:schemas-microsoft-com:office:office">
      <w:tblPr>
        <w:tblW w:w="0" w:type="auto"/>
        <w:tblBorders>
          <w:top w:val="single" w:sz="4" w:color="A8BFD8"/>
          <w:left w:val="single" w:sz="4" w:color="A8BFD8"/>
          <w:bottom w:val="single" w:sz="4" w:color="A8BFD8"/>
          <w:right w:val="single" w:sz="4" w:color="A8BFD8"/>
          <w:insideH w:val="single" w:sz="4" w:color="DCE4EE"/>
          <w:insideV w:val="single" w:sz="4" w:color="DCE4EE"/>
        </w:tblBorders>
      </w:tblPr>
      <w:tblGrid>
        <w:gridCol w:w="2600"/>
        <w:gridCol w:w="7400"/>
      </w:tblGrid>
      <w:tr>
        <w:tc>
          <w:tcPr>
            <w:tcW w:w="2600" w:type="dxa"/>
            <w:shd w:val="clear" w:color="auto" w:fill="F2F7FF"/>
          </w:tcPr>
          <w:p>
            <w:r>
              <w:rPr>
                <w:b/>
                <w:sz w:val="19"/>
              </w:rPr>
              <w:t>name</w:t>
            </w:r>
          </w:p>
        </w:tc>
        <w:tc>
          <w:tcPr>
            <w:tcW w:w="7400" w:type="dxa"/>
          </w:tcPr>
          <w:p>
            <w:r>
              <w:rPr>
                <w:sz w:val="19"/>
              </w:rPr>
              <w:t xml:space="preserve">docx-master 能力演示</w:t>
            </w:r>
          </w:p>
        </w:tc>
      </w:tr>
      <w:tr>
        <w:tc>
          <w:tcPr>
            <w:tcW w:w="2600" w:type="dxa"/>
            <w:shd w:val="clear" w:color="auto" w:fill="F2F7FF"/>
          </w:tcPr>
          <w:p>
            <w:r>
              <w:rPr>
                <w:b/>
                <w:sz w:val="19"/>
              </w:rPr>
              <w:t>code</w:t>
            </w:r>
          </w:p>
        </w:tc>
        <w:tc>
          <w:tcPr>
            <w:tcW w:w="7400" w:type="dxa"/>
          </w:tcPr>
          <w:p>
            <w:r>
              <w:rPr>
                <w:sz w:val="19"/>
              </w:rPr>
              <w:t xml:space="preserve">DOXC-DEMO-001</w:t>
            </w:r>
          </w:p>
        </w:tc>
      </w:tr>
      <w:tr>
        <w:tc>
          <w:tcPr>
            <w:tcW w:w="2600" w:type="dxa"/>
            <w:shd w:val="clear" w:color="auto" w:fill="F2F7FF"/>
          </w:tcPr>
          <w:p>
            <w:r>
              <w:rPr>
                <w:b/>
                <w:sz w:val="19"/>
              </w:rPr>
              <w:t>owner</w:t>
            </w:r>
          </w:p>
        </w:tc>
        <w:tc>
          <w:tcPr>
            <w:tcW w:w="7400" w:type="dxa"/>
          </w:tcPr>
          <w:p>
            <w:r>
              <w:rPr>
                <w:sz w:val="19"/>
              </w:rPr>
              <w:t xml:space="preserve">佐罗斯</w:t>
            </w:r>
          </w:p>
        </w:tc>
      </w:tr>
      <w:tr>
        <w:tc>
          <w:tcPr>
            <w:tcW w:w="2600" w:type="dxa"/>
            <w:shd w:val="clear" w:color="auto" w:fill="F2F7FF"/>
          </w:tcPr>
          <w:p>
            <w:r>
              <w:rPr>
                <w:b/>
                <w:sz w:val="19"/>
              </w:rPr>
              <w:t>stage</w:t>
            </w:r>
          </w:p>
        </w:tc>
        <w:tc>
          <w:tcPr>
            <w:tcW w:w="7400" w:type="dxa"/>
          </w:tcPr>
          <w:p>
            <w:r>
              <w:rPr>
                <w:sz w:val="19"/>
              </w:rPr>
              <w:t xml:space="preserve">元素覆盖验证</w:t>
            </w:r>
          </w:p>
        </w:tc>
      </w:tr>
      <w:tr>
        <w:tc>
          <w:tcPr>
            <w:tcW w:w="2600" w:type="dxa"/>
            <w:shd w:val="clear" w:color="auto" w:fill="F2F7FF"/>
          </w:tcPr>
          <w:p>
            <w:r>
              <w:rPr>
                <w:b/>
                <w:sz w:val="19"/>
              </w:rPr>
              <w:t>elements</w:t>
            </w:r>
          </w:p>
        </w:tc>
        <w:tc>
          <w:tcPr>
            <w:tcW w:w="7400" w:type="dxa"/>
          </w:tcPr>
          <w:p>
            <w:r>
              <w:rPr>
                <w:sz w:val="19"/>
              </w:rPr>
              <w:t xml:space="preserve">5 项（insert / field / batch / nav / output）</w:t>
            </w:r>
          </w:p>
        </w:tc>
      </w:tr>
      <w:tr>
        <w:tc>
          <w:tcPr>
            <w:tcW w:w="2600" w:type="dxa"/>
            <w:shd w:val="clear" w:color="auto" w:fill="F2F7FF"/>
          </w:tcPr>
          <w:p>
            <w:r>
              <w:rPr>
                <w:b/>
                <w:sz w:val="19"/>
              </w:rPr>
              <w:t>reviewers</w:t>
            </w:r>
          </w:p>
        </w:tc>
        <w:tc>
          <w:tcPr>
            <w:tcW w:w="7400" w:type="dxa"/>
          </w:tcPr>
          <w:p>
            <w:r>
              <w:rPr>
                <w:sz w:val="19"/>
              </w:rPr>
              <w:t xml:space="preserve">3 位（author / engine / postproc）</w:t>
            </w:r>
          </w:p>
        </w:tc>
      </w:tr>
    </w:tbl>
    <w:p>
      <w:pPr>
        <w:pStyle w:val="BodyText"/>
      </w:pPr>
      <w:r>
        <w:t xml:space="preserve">至此，从文字排版到打印校对的两批元素全部走完。每一项的落地方式、实测结果与遗留缺口，集中在同目录的《实现情况清单》里。</w:t>
      </w:r>
    </w:p>
    <w:p>
      <w:pPr>
        <w:pStyle w:val="Heading2"/>
      </w:pPr>
      <w:r>
        <w:t>索引</w:t>
      </w:r>
    </w:p>
    <w:p>
      <w:r>
        <w:fldChar w:fldCharType="begin"/>
      </w:r>
      <w:r>
        <w:instrText xml:space="preserve"> INDEX \c "2" </w:instrText>
      </w:r>
      <w:r>
        <w:fldChar w:fldCharType="separate"/>
      </w:r>
      <w:r>
        <w:t xml:space="preserve">【索引：F9 更新】</w:t>
      </w:r>
      <w:r>
        <w:fldChar w:fldCharType="end"/>
      </w:r>
    </w:p>
    <w:sectPr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pgSz w:w="11906" w:h="16838"/>
      <w:pgMar w:top="1440" w:right="1797" w:bottom="1440" w:left="1797" w:header="851" w:footer="992" w:gutter="283"/>
      <w:pgNumType w:fmt="decimal" w:start="1"/>
      <w:cols w:space="425"/>
      <w:titlePg/>
      <w:docGrid w:type="lines" w:linePitch="312"/>
    </w:sectPr>
  </w:body>
</w:document>
</file>

<file path=word/endnotes.xml><?xml version="1.0" encoding="utf-8"?>
<w:endnotes xmlns:w="http://schemas.openxmlformats.org/wordprocessingml/2006/main" xmlns:mc="http://schemas.openxmlformats.org/markup-compatibility/2006" xmlns:v="urn:schemas-microsoft-com:vml" xmlns:o="urn:schemas-microsoft-com:office:office" xmlns:w10="urn:schemas-microsoft-com:office:word" xmlns:wps="http://schemas.microsoft.com/office/word/2010/wordprocessingShape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wp14="http://schemas.microsoft.com/office/word/2010/wordprocessingDrawing" mc:Ignorable="w14 w15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 xml:space="preserve"> 这是尾注，位于文档末尾（endnotes.xml）。</w:t>
      </w:r>
    </w:p>
  </w:endnote>
</w:endnotes>
</file>

<file path=word/footer4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 xmlns:mc="http://schemas.openxmlformats.org/markup-compatibility/2006" xmlns:v="urn:schemas-microsoft-com:vml" xmlns:o="urn:schemas-microsoft-com:office:office" xmlns:w10="urn:schemas-microsoft-com:office:word" xmlns:wps="http://schemas.microsoft.com/office/word/2010/wordprocessingShape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wp14="http://schemas.microsoft.com/office/word/2010/wordprocessingDrawing" mc:Ignorable="w14 w15 wp14">
  <w:p>
    <w:pPr>
      <w:pStyle w:val="Footer"/>
      <w:jc w:val="center"/>
    </w:pPr>
    <w: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页 / 共 </w:t>
    </w:r>
    <w:r>
      <w:fldChar w:fldCharType="begin"/>
    </w:r>
    <w:r>
      <w:instrText xml:space="preserve"> NUMPAGES </w:instrText>
    </w:r>
    <w:r>
      <w:fldChar w:fldCharType="separate"/>
    </w:r>
    <w:r>
      <w:t xml:space="preserve">1</w:t>
    </w:r>
    <w:r>
      <w:fldChar w:fldCharType="end"/>
    </w:r>
    <w:r>
      <w:t xml:space="preserve"> 页</w:t>
    </w:r>
  </w:p>
</w:ftr>
</file>

<file path=word/footer5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 xmlns:mc="http://schemas.openxmlformats.org/markup-compatibility/2006" xmlns:v="urn:schemas-microsoft-com:vml" xmlns:o="urn:schemas-microsoft-com:office:office" xmlns:w10="urn:schemas-microsoft-com:office:word" xmlns:wps="http://schemas.microsoft.com/office/word/2010/wordprocessingShape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wp14="http://schemas.microsoft.com/office/word/2010/wordprocessingDrawing" mc:Ignorable="w14 w15 wp14"/>
</file>

<file path=word/footnotes.xml><?xml version="1.0" encoding="utf-8"?>
<w:footnotes xmlns:w="http://schemas.openxmlformats.org/wordprocessingml/2006/main" xmlns:mc="http://schemas.openxmlformats.org/markup-compatibility/2006" xmlns:v="urn:schemas-microsoft-com:vml" xmlns:o="urn:schemas-microsoft-com:office:office" xmlns:w10="urn:schemas-microsoft-com:office:word" xmlns:wps="http://schemas.microsoft.com/office/word/2010/wordprocessingShape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wp14="http://schemas.microsoft.com/office/word/2010/wordprocessingDrawing" mc:Ignorable="w14 w15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这是由后处理写入的脚注：引擎（apply）不生成 footnotes.xml 部件，因此脚注只能走手工 OOXML 路径。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 xmlns:mc="http://schemas.openxmlformats.org/markup-compatibility/2006" xmlns:v="urn:schemas-microsoft-com:vml" xmlns:o="urn:schemas-microsoft-com:office:office" xmlns:w10="urn:schemas-microsoft-com:office:word" xmlns:wps="http://schemas.microsoft.com/office/word/2010/wordprocessingShape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wp14="http://schemas.microsoft.com/office/word/2010/wordprocessingDrawing" mc:Ignorable="w14 w15 wp14">
  <w:p>
    <w:pPr>
      <w:pStyle w:val="Header"/>
      <w:jc w:val="center"/>
    </w:pPr>
    <w:r>
      <w:t xml:space="preserve">当前章：</w:t>
    </w:r>
    <w:r>
      <w:fldChar w:fldCharType="begin"/>
    </w:r>
    <w:r>
      <w:instrText xml:space="preserve"> STYLEREF "一级标题" \n </w:instrText>
    </w:r>
    <w:r>
      <w:fldChar w:fldCharType="separate"/>
    </w:r>
    <w:r>
      <w:t xml:space="preserve">第 1 章</w:t>
    </w:r>
    <w:r>
      <w:fldChar w:fldCharType="end"/>
    </w:r>
  </w:p>
  <w:p>
    <w:pPr>
      <w:pStyle w:val="Header"/>
      <w:pBdr>
        <w:bottom w:val="single" w:sz="4" w:space="1" w:color="auto"/>
      </w:pBdr>
      <w:jc w:val="center"/>
    </w:pPr>
    <w:r>
      <w:t xml:space="preserve">docx-master 能力演示（奇数页默认页眉）</w:t>
    </w:r>
  </w:p>
  <w:p>
    <w:pPr>
      <w:pStyle w:val="Header"/>
      <w:jc w:val="cent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</v:shapetype>
        <v:shape id="PowerPlusWaterMarkObject1" o:spid="_x0000_s2049" type="#_x0000_t136" style="position:absolute;margin-left:0;margin-top:0;width:414.05pt;height:103.5pt;rotation:315;z-index:-251658752;mso-position-horizontal:center;mso-position-horizontal-relative:margin;mso-position-vertical:center;mso-position-vertical-relative:margin" o:allowincell="f" fillcolor="#c8c8c8" stroked="f">
          <v:fill opacity=".5"/>
          <v:textpath style="font-family:&quot;宋体&quot;;font-size:1pt" string="内部示例 · 请勿外传"/>
        </v:shape>
      </w:pic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 xmlns:mc="http://schemas.openxmlformats.org/markup-compatibility/2006" xmlns:v="urn:schemas-microsoft-com:vml" xmlns:o="urn:schemas-microsoft-com:office:office" xmlns:w10="urn:schemas-microsoft-com:office:word" xmlns:wps="http://schemas.microsoft.com/office/word/2010/wordprocessingShape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wp14="http://schemas.microsoft.com/office/word/2010/wordprocessingDrawing" mc:Ignorable="w14 w15 wp14"/>
</file>

<file path=word/header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 xmlns:mc="http://schemas.openxmlformats.org/markup-compatibility/2006" xmlns:v="urn:schemas-microsoft-com:vml" xmlns:o="urn:schemas-microsoft-com:office:office" xmlns:w10="urn:schemas-microsoft-com:office:word" xmlns:wps="http://schemas.microsoft.com/office/word/2010/wordprocessingShape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wp14="http://schemas.microsoft.com/office/word/2010/wordprocessingDrawing" mc:Ignorable="w14 w15 wp14">
  <w:p>
    <w:pPr>
      <w:pStyle w:val="Header"/>
      <w:pBdr>
        <w:bottom w:val="single" w:sz="4" w:space="1" w:color="auto"/>
      </w:pBdr>
      <w:jc w:val="center"/>
    </w:pPr>
    <w:r>
      <w:t xml:space="preserve">偶数页页眉 · docx-master 能力演示</w:t>
    </w:r>
  </w:p>
</w:hdr>
</file>

<file path=word/numbering.xml><?xml version="1.0" encoding="utf-8"?>
<w:numbering xmlns:w="http://schemas.openxmlformats.org/wordprocessingml/2006/main" xmlns:mc="http://schemas.openxmlformats.org/markup-compatibility/2006" xmlns:v="urn:schemas-microsoft-com:vml" xmlns:o="urn:schemas-microsoft-com:office:office" xmlns:w10="urn:schemas-microsoft-com:office:word" xmlns:wps="http://schemas.microsoft.com/office/word/2010/wordprocessingShape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wp14="http://schemas.microsoft.com/office/word/2010/wordprocessingDrawing" mc:Ignorable="w14 w15 wp14">
  <w:abstractNum w:abstractNumId="0">
    <w:multiLevelType w:val="multilevel"/>
    <w:lvl w:ilvl="0">
      <w:start w:val="1"/>
      <w:numFmt w:val="chineseCounting"/>
      <w:pStyle w:val="Heading1"/>
      <w:suff w:val="space"/>
      <w:lvlText w:val="第%1章"/>
      <w:lvlJc w:val="left"/>
      <w:rPr>
        <w:b/>
      </w:rPr>
    </w:lvl>
    <w:lvl w:ilvl="1">
      <w:start w:val="1"/>
      <w:numFmt w:val="decimal"/>
      <w:pStyle w:val="Heading2"/>
      <w:suff w:val="space"/>
      <w:lvlText w:val="%2."/>
      <w:lvlJc w:val="left"/>
      <w:rPr>
        <w:b/>
      </w:rPr>
    </w:lvl>
    <w:lvl w:ilvl="2">
      <w:start w:val="1"/>
      <w:numFmt w:val="decimal"/>
      <w:pStyle w:val="Heading3"/>
      <w:suff w:val="space"/>
      <w:lvlText w:val="%3."/>
      <w:lvlJc w:val="left"/>
      <w:rPr>
        <w:b/>
      </w:rPr>
    </w:lvl>
  </w:abstractNum>
  <w:abstractNum w:abstractNumId="1">
    <w:multiLevelType w:val="singleLevel"/>
    <w:lvl w:ilvl="0">
      <w:start w:val="1"/>
      <w:numFmt w:val="bullet"/>
      <w:pStyle w:val="ListBullet"/>
      <w:suff w:val="space"/>
      <w:lvlText w:val="●"/>
      <w:lvlJc w:val="left"/>
    </w:lvl>
  </w:abstractNum>
  <w:abstractNum w:abstractNumId="2">
    <w:multiLevelType w:val="singleLevel"/>
    <w:lvl w:ilvl="0">
      <w:start w:val="1"/>
      <w:numFmt w:val="decimal"/>
      <w:pStyle w:val="ListNumber"/>
      <w:suff w:val="space"/>
      <w:lvlText w:val="%1."/>
      <w:lvlJc w:val="left"/>
    </w:lvl>
  </w:abstractNum>
  <w:abstractNum w:abstractNumId="3">
    <w:multiLevelType w:val="multilevel"/>
    <w:lvl w:ilvl="0">
      <w:start w:val="1"/>
      <w:numFmt w:val="decimal"/>
      <w:pStyle w:val="ListLevel1"/>
      <w:suff w:val="space"/>
      <w:lvlText w:val="%1."/>
      <w:lvlJc w:val="left"/>
    </w:lvl>
    <w:lvl w:ilvl="1">
      <w:start w:val="1"/>
      <w:numFmt w:val="decimal"/>
      <w:pStyle w:val="ListLevel2"/>
      <w:suff w:val="space"/>
      <w:lvlText w:val="%1.%2."/>
      <w:lvlJc w:val="left"/>
    </w:lvl>
    <w:lvl w:ilvl="2">
      <w:start w:val="1"/>
      <w:numFmt w:val="lowerLetter"/>
      <w:pStyle w:val="ListLevel3"/>
      <w:suff w:val="space"/>
      <w:lvlText w:val="%3)"/>
      <w:lvlJc w:val="left"/>
    </w:lvl>
  </w:abstractNum>
  <w:abstractNum w:abstractNumId="4">
    <w:multiLevelType w:val="singleLevel"/>
    <w:lvl w:ilvl="0">
      <w:start w:val="1"/>
      <w:numFmt w:val="decimal"/>
      <w:pStyle w:val="Reference"/>
      <w:suff w:val="space"/>
      <w:lvlText w:val="[%1]"/>
      <w:lvlJc w:val="left"/>
    </w:lvl>
  </w:abstractNum>
  <w:num w:numId="10">
    <w:abstractNumId w:val="0"/>
  </w:num>
  <w:num w:numId="20">
    <w:abstractNumId w:val="1"/>
  </w:num>
  <w:num w:numId="30">
    <w:abstractNumId w:val="2"/>
  </w:num>
  <w:num w:numId="40">
    <w:abstractNumId w:val="3"/>
  </w:num>
  <w:num w:numId="50">
    <w:abstractNumId w:val="4"/>
  </w:num>
</w:numbering>
</file>

<file path=word/settings.xml><?xml version="1.0" encoding="utf-8"?>
<w:settings xmlns:w="http://schemas.openxmlformats.org/wordprocessingml/2006/main" xmlns:mc="http://schemas.openxmlformats.org/markup-compatibility/2006" xmlns:v="urn:schemas-microsoft-com:vml" xmlns:o="urn:schemas-microsoft-com:office:office" xmlns:w10="urn:schemas-microsoft-com:office:word" xmlns:wps="http://schemas.microsoft.com/office/word/2010/wordprocessingShape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wp14="http://schemas.microsoft.com/office/word/2010/wordprocessingDrawing" mc:Ignorable="w14 w15 wp14">
  <w:displayBackgroundShape/>
  <w:printFormsData w:val="false"/>
  <w:hideSpellingErrors w:val="false"/>
  <w:hideGrammaticalErrors w:val="false"/>
  <w:proofState w:spelling="clean" w:grammar="clean"/>
  <w:mailMerge>
    <w:mainDocumentType w:val="formLetters"/>
    <w:dataType w:val="spreadsheet"/>
    <w:destination w:val="newDocument"/>
  </w:mailMerge>
  <w:defaultTabStop w:val="420"/>
  <w:evenAndOddHeaders/>
  <w:bookFoldRevPrinting w:val="false"/>
  <w:bookFoldPrinting w:val="false"/>
  <w:bookFoldPrintingSheets w:val="2"/>
  <w:printTwoOnOne w:val="false"/>
  <w:savePreviewPicture w:val="true"/>
  <w:updateFields w:val="true"/>
  <w:docVars>
    <w:docVar w:name="项目名称" w:val="docx-master 能力演示"/>
    <w:docVar w:name="项目代号" w:val="DOXC-DEMO-001"/>
    <w:docVar w:name="密级" w:val="内部"/>
  </w:docVars>
  <w:themeFontLang w:val="en-US" w:eastAsia="zh-CN"/>
</w:settings>
</file>

<file path=word/styles.xml><?xml version="1.0" encoding="utf-8"?>
<w:styles xmlns:w="http://schemas.openxmlformats.org/wordprocessingml/2006/main" xmlns:mc="http://schemas.openxmlformats.org/markup-compatibility/2006" xmlns:v="urn:schemas-microsoft-com:vml" xmlns:o="urn:schemas-microsoft-com:office:office" xmlns:w10="urn:schemas-microsoft-com:office:word" xmlns:wps="http://schemas.microsoft.com/office/word/2010/wordprocessingShape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wp14="http://schemas.microsoft.com/office/word/2010/wordprocessingDrawing" mc:Ignorable="w14 w15 wp14">
  <w:docDefaults>
    <w:rPrDefault>
      <w:rPr>
        <w:rFonts w:ascii="Calibri" w:eastAsia="宋体" w:hAnsi="Calibri" w:cs="Times New Roman"/>
        <w:kern w:val="2"/>
        <w:sz w:val="22"/>
        <w:szCs w:val="22"/>
        <w:lang w:val="en-US" w:eastAsia="zh-CN" w:bidi="ar-SA"/>
      </w:rPr>
    </w:rPrDefault>
    <w:pPrDefault/>
  </w:docDefaults>
  <w:style w:type="paragraph" w:default="1" w:styleId="Normal">
    <w:name w:val="正文"/>
    <w:qFormat/>
    <w:pPr>
      <w:spacing w:line="360" w:lineRule="auto"/>
      <w:jc w:val="both"/>
    </w:pPr>
    <w:rPr>
      <w:rFonts w:ascii="Times New Roman" w:hAnsi="Times New Roman" w:eastAsia="宋体"/>
      <w:sz w:val="21"/>
      <w:szCs w:val="21"/>
    </w:rPr>
  </w:style>
  <w:style w:type="paragraph" w:styleId="BodyText">
    <w:name w:val="正文文本"/>
    <w:basedOn w:val="Normal"/>
    <w:pPr>
      <w:spacing w:before="0" w:after="0" w:line="360" w:lineRule="auto"/>
      <w:ind w:firstLineChars="200"/>
      <w:jc w:val="both"/>
    </w:pPr>
    <w:rPr>
      <w:rFonts w:eastAsia="宋体"/>
      <w:sz w:val="21"/>
      <w:szCs w:val="21"/>
    </w:rPr>
  </w:style>
  <w:style w:type="paragraph" w:styleId="Title">
    <w:name w:val="标题"/>
    <w:basedOn w:val="Normal"/>
    <w:pPr>
      <w:spacing w:before="0" w:after="240" w:line="360" w:lineRule="auto"/>
      <w:ind w:firstLine="0"/>
      <w:jc w:val="center"/>
      <w:outlineLvl w:val="9"/>
    </w:pPr>
    <w:rPr>
      <w:rFonts w:eastAsia="黑体"/>
      <w:b/>
      <w:bCs/>
      <w:sz w:val="44"/>
      <w:szCs w:val="44"/>
    </w:rPr>
  </w:style>
  <w:style w:type="paragraph" w:styleId="Subtitle">
    <w:name w:val="副标题"/>
    <w:basedOn w:val="Normal"/>
    <w:pPr>
      <w:spacing w:after="120" w:line="360" w:lineRule="auto"/>
      <w:ind w:firstLine="0"/>
      <w:jc w:val="center"/>
      <w:outlineLvl w:val="9"/>
    </w:pPr>
    <w:rPr>
      <w:rFonts w:eastAsia="楷体"/>
      <w:sz w:val="28"/>
      <w:szCs w:val="28"/>
    </w:rPr>
  </w:style>
  <w:style w:type="paragraph" w:styleId="Heading1">
    <w:name w:val="一级标题"/>
    <w:basedOn w:val="Normal"/>
    <w:pPr>
      <w:numPr>
        <w:ilvl w:val="0"/>
        <w:numId w:val="10"/>
      </w:numPr>
      <w:spacing w:before="360" w:after="240" w:line="360" w:lineRule="auto"/>
      <w:ind w:firstLine="0"/>
      <w:jc w:val="center"/>
      <w:outlineLvl w:val="0"/>
    </w:pPr>
    <w:rPr>
      <w:rFonts w:eastAsia="黑体"/>
      <w:b/>
      <w:bCs/>
      <w:sz w:val="32"/>
      <w:szCs w:val="32"/>
    </w:rPr>
  </w:style>
  <w:style w:type="paragraph" w:styleId="Heading2">
    <w:name w:val="二级标题"/>
    <w:basedOn w:val="Normal"/>
    <w:pPr>
      <w:numPr>
        <w:ilvl w:val="1"/>
        <w:numId w:val="10"/>
      </w:numPr>
      <w:spacing w:before="240" w:after="120" w:line="360" w:lineRule="auto"/>
      <w:ind w:firstLine="0"/>
      <w:jc w:val="left"/>
      <w:outlineLvl w:val="1"/>
    </w:pPr>
    <w:rPr>
      <w:rFonts w:eastAsia="黑体"/>
      <w:b/>
      <w:bCs/>
      <w:sz w:val="28"/>
      <w:szCs w:val="28"/>
    </w:rPr>
  </w:style>
  <w:style w:type="paragraph" w:styleId="Heading3">
    <w:name w:val="三级标题"/>
    <w:basedOn w:val="Normal"/>
    <w:pPr>
      <w:numPr>
        <w:ilvl w:val="2"/>
        <w:numId w:val="10"/>
      </w:numPr>
      <w:spacing w:before="120" w:after="120" w:line="360" w:lineRule="auto"/>
      <w:ind w:firstLine="0"/>
      <w:jc w:val="left"/>
      <w:outlineLvl w:val="2"/>
    </w:pPr>
    <w:rPr>
      <w:rFonts w:eastAsia="黑体"/>
      <w:b/>
      <w:bCs/>
      <w:sz w:val="24"/>
      <w:szCs w:val="24"/>
    </w:rPr>
  </w:style>
  <w:style w:type="paragraph" w:styleId="FigureCaption">
    <w:name w:val="图题注"/>
    <w:basedOn w:val="Normal"/>
    <w:pPr>
      <w:spacing w:before="120" w:after="240" w:line="360" w:lineRule="auto"/>
      <w:ind w:firstLine="0"/>
      <w:jc w:val="center"/>
    </w:pPr>
    <w:rPr>
      <w:rFonts w:eastAsia="宋体"/>
      <w:sz w:val="21"/>
      <w:szCs w:val="21"/>
    </w:rPr>
  </w:style>
  <w:style w:type="paragraph" w:styleId="TableCaption">
    <w:name w:val="表题注"/>
    <w:basedOn w:val="Normal"/>
    <w:pPr>
      <w:spacing w:before="240" w:after="120" w:line="360" w:lineRule="auto"/>
      <w:ind w:firstLine="0"/>
      <w:jc w:val="center"/>
    </w:pPr>
    <w:rPr>
      <w:rFonts w:eastAsia="宋体"/>
      <w:sz w:val="21"/>
      <w:szCs w:val="21"/>
    </w:rPr>
  </w:style>
  <w:style w:type="paragraph" w:styleId="EquationCaption">
    <w:name w:val="公式题注"/>
    <w:basedOn w:val="Normal"/>
    <w:pPr>
      <w:spacing w:line="360" w:lineRule="auto"/>
      <w:ind w:firstLine="0"/>
    </w:pPr>
    <w:rPr>
      <w:rFonts w:eastAsia="宋体"/>
      <w:sz w:val="21"/>
      <w:szCs w:val="21"/>
    </w:rPr>
  </w:style>
  <w:style w:type="paragraph" w:styleId="Reference">
    <w:name w:val="参考文献"/>
    <w:basedOn w:val="Normal"/>
    <w:pPr>
      <w:numPr>
        <w:ilvl w:val="0"/>
        <w:numId w:val="50"/>
      </w:numPr>
      <w:spacing w:after="0" w:line="360" w:lineRule="auto"/>
      <w:ind w:firstLine="0" w:hangingChars="200"/>
      <w:jc w:val="left"/>
    </w:pPr>
    <w:rPr>
      <w:rFonts w:eastAsia="宋体"/>
      <w:sz w:val="21"/>
      <w:szCs w:val="21"/>
    </w:rPr>
  </w:style>
  <w:style w:type="paragraph" w:styleId="ListBullet">
    <w:name w:val="项目符号"/>
    <w:basedOn w:val="Normal"/>
    <w:pPr>
      <w:numPr>
        <w:ilvl w:val="0"/>
        <w:numId w:val="20"/>
      </w:numPr>
      <w:spacing w:after="0" w:line="360" w:lineRule="auto"/>
      <w:ind w:firstLine="0"/>
      <w:jc w:val="left"/>
    </w:pPr>
    <w:rPr>
      <w:rFonts w:eastAsia="宋体"/>
      <w:sz w:val="21"/>
      <w:szCs w:val="21"/>
    </w:rPr>
  </w:style>
  <w:style w:type="paragraph" w:styleId="ListNumber">
    <w:name w:val="编号列表"/>
    <w:basedOn w:val="Normal"/>
    <w:pPr>
      <w:numPr>
        <w:ilvl w:val="0"/>
        <w:numId w:val="30"/>
      </w:numPr>
      <w:spacing w:after="0" w:line="360" w:lineRule="auto"/>
      <w:ind w:firstLine="0"/>
      <w:jc w:val="left"/>
    </w:pPr>
    <w:rPr>
      <w:rFonts w:eastAsia="宋体"/>
      <w:sz w:val="21"/>
      <w:szCs w:val="21"/>
    </w:rPr>
  </w:style>
  <w:style w:type="paragraph" w:styleId="ListLevel1">
    <w:name w:val="多级列表一"/>
    <w:basedOn w:val="Normal"/>
    <w:pPr>
      <w:numPr>
        <w:ilvl w:val="0"/>
        <w:numId w:val="40"/>
      </w:numPr>
      <w:spacing w:after="0" w:line="360" w:lineRule="auto"/>
      <w:ind w:firstLine="0"/>
      <w:jc w:val="left"/>
    </w:pPr>
    <w:rPr>
      <w:rFonts w:eastAsia="宋体"/>
      <w:sz w:val="21"/>
      <w:szCs w:val="21"/>
    </w:rPr>
  </w:style>
  <w:style w:type="paragraph" w:styleId="ListLevel2">
    <w:name w:val="多级列表二"/>
    <w:basedOn w:val="Normal"/>
    <w:pPr>
      <w:numPr>
        <w:ilvl w:val="1"/>
        <w:numId w:val="40"/>
      </w:numPr>
      <w:spacing w:after="0" w:line="360" w:lineRule="auto"/>
      <w:ind w:firstLine="0"/>
      <w:jc w:val="left"/>
    </w:pPr>
    <w:rPr>
      <w:rFonts w:eastAsia="宋体"/>
      <w:sz w:val="21"/>
      <w:szCs w:val="21"/>
    </w:rPr>
  </w:style>
  <w:style w:type="paragraph" w:styleId="ListLevel3">
    <w:name w:val="多级列表三"/>
    <w:basedOn w:val="Normal"/>
    <w:pPr>
      <w:numPr>
        <w:ilvl w:val="2"/>
        <w:numId w:val="40"/>
      </w:numPr>
      <w:spacing w:after="0" w:line="360" w:lineRule="auto"/>
      <w:ind w:firstLine="0"/>
      <w:jc w:val="left"/>
    </w:pPr>
    <w:rPr>
      <w:rFonts w:eastAsia="宋体"/>
      <w:sz w:val="21"/>
      <w:szCs w:val="21"/>
    </w:rPr>
  </w:style>
  <w:style w:type="paragraph" w:styleId="Quote">
    <w:name w:val="引用块"/>
    <w:basedOn w:val="Normal"/>
    <w:pPr>
      <w:spacing w:line="360" w:lineRule="auto"/>
      <w:ind w:firstLine="0"/>
      <w:jc w:val="left"/>
    </w:pPr>
    <w:rPr>
      <w:rFonts w:eastAsia="楷体"/>
      <w:sz w:val="21"/>
      <w:szCs w:val="21"/>
    </w:rPr>
  </w:style>
  <w:style w:type="paragraph" w:styleId="Code">
    <w:name w:val="代码"/>
    <w:basedOn w:val="Normal"/>
    <w:pPr>
      <w:spacing w:line="240" w:lineRule="auto"/>
      <w:ind w:firstLine="0"/>
      <w:jc w:val="left"/>
    </w:pPr>
    <w:rPr>
      <w:rFonts w:ascii="Consolas" w:hAnsi="Consolas" w:eastAsia="宋体"/>
      <w:sz w:val="18"/>
      <w:szCs w:val="18"/>
    </w:rPr>
  </w:style>
  <w:style w:type="paragraph" w:styleId="TOCTitle">
    <w:name w:val="目录标题"/>
    <w:basedOn w:val="Normal"/>
    <w:pPr>
      <w:spacing w:before="0" w:after="240" w:line="360" w:lineRule="auto"/>
      <w:ind w:firstLine="0"/>
      <w:jc w:val="center"/>
      <w:outlineLvl w:val="9"/>
    </w:pPr>
    <w:rPr>
      <w:rFonts w:eastAsia="黑体"/>
      <w:b/>
      <w:bCs/>
      <w:sz w:val="32"/>
      <w:szCs w:val="32"/>
    </w:rPr>
  </w:style>
  <w:style w:type="paragraph" w:styleId="TableText">
    <w:name w:val="表格文字"/>
    <w:basedOn w:val="Normal"/>
    <w:pPr>
      <w:spacing w:after="0" w:line="240" w:lineRule="auto"/>
      <w:ind w:firstLine="0"/>
      <w:jc w:val="left"/>
    </w:pPr>
    <w:rPr>
      <w:rFonts w:eastAsia="宋体"/>
      <w:sz w:val="21"/>
      <w:szCs w:val="21"/>
    </w:rPr>
  </w:style>
  <w:style w:type="paragraph" w:styleId="TableHeader">
    <w:name w:val="表头文字"/>
    <w:basedOn w:val="TableText"/>
    <w:pPr>
      <w:jc w:val="center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_HiddenChapterCounter">
    <w:name w:val="_Hidden Chapter Counter"/>
    <w:basedOn w:val="Normal"/>
    <w:hidden/>
    <w:semiHidden/>
    <w:unhideWhenUsed/>
    <w:pPr>
      <w:spacing w:before="0" w:after="0" w:line="240" w:lineRule="auto"/>
    </w:pPr>
    <w:rPr>
      <w:vanish/>
      <w:sz w:val="2"/>
    </w:rPr>
  </w:style>
  <w:style w:type="paragraph" w:styleId="Header">
    <w:name w:val="header"/>
    <w:basedOn w:val="Normal"/>
    <w:uiPriority w:val="99"/>
    <w:unhideWhenUsed/>
  </w:style>
  <w:style w:type="paragraph" w:styleId="Footer">
    <w:name w:val="footer"/>
    <w:basedOn w:val="Normal"/>
    <w:uiPriority w:val="99"/>
    <w:unhideWhenUsed/>
  </w:style>
  <w:style w:type="character" w:styleId="FootnoteReference">
    <w:name w:val="脚注引用"/>
    <w:rPr>
      <w:vertAlign w:val="superscript"/>
    </w:rPr>
  </w:style>
  <w:style w:type="character" w:styleId="EndnoteReference">
    <w:name w:val="尾注引用"/>
    <w:rPr>
      <w:vertAlign w:val="superscript"/>
    </w:rPr>
  </w:style>
  <w:style w:type="paragraph" w:styleId="FootnoteText">
    <w:name w:val="脚注文本"/>
    <w:pPr>
      <w:spacing w:after="0" w:line="240" w:lineRule="auto"/>
    </w:pPr>
    <w:rPr>
      <w:sz w:val="18"/>
    </w:rPr>
  </w:style>
  <w:style w:type="paragraph" w:styleId="EndnoteText">
    <w:name w:val="尾注文本"/>
    <w:pPr>
      <w:spacing w:after="0" w:line="240" w:lineRule="auto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image" Target="media/image1.png"/><Relationship Id="rId5" Type="http://schemas.openxmlformats.org/officeDocument/2006/relationships/hyperlink" Target="https://www.ecma-international.org/publications-and-standards/standards/ecma-376/" TargetMode="External"/><Relationship Id="rId6" Type="http://schemas.openxmlformats.org/officeDocument/2006/relationships/hyperlink" Target="mailto:demo@example.com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numbering" Target="numbering.xml"/><Relationship Id="rIdFootnotes" Type="http://schemas.openxmlformats.org/officeDocument/2006/relationships/footnotes" Target="footnotes.xml"/><Relationship Id="rIdEndnotes" Type="http://schemas.openxmlformats.org/officeDocument/2006/relationships/endnotes" Target="endnotes.xml"/><Relationship Id="rIdGlossary" Type="http://schemas.openxmlformats.org/officeDocument/2006/relationships/glossary" Target="glossary/document.xml"/><Relationship Id="rId201" Type="http://schemas.openxmlformats.org/officeDocument/2006/relationships/image" Target="media/image2.png"/><Relationship Id="rId202" Type="http://schemas.openxmlformats.org/officeDocument/2006/relationships/image" Target="media/image3.png"/><Relationship Id="rId203" Type="http://schemas.openxmlformats.org/officeDocument/2006/relationships/image" Target="media/image4.png"/><Relationship Id="rId204" Type="http://schemas.openxmlformats.org/officeDocument/2006/relationships/chart" Target="charts/chart1.xml"/><Relationship Id="rId205" Type="http://schemas.openxmlformats.org/officeDocument/2006/relationships/package" Target="embeddings/Microsoft_Excel_Worksheet1.xlsx"/><Relationship Id="rId206" Type="http://schemas.openxmlformats.org/officeDocument/2006/relationships/oleObject" Target="embeddings/oleObject1.bin"/><Relationship Id="rId207" Type="http://schemas.openxmlformats.org/officeDocument/2006/relationships/image" Target="media/image5.png"/><Relationship Id="rIdCustomXml1" Type="http://schemas.openxmlformats.org/officeDocument/2006/relationships/customXml" Target="../customXml/item1.xml"/></Relationships>
</file>

<file path=word/charts/_rels/chart1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 xmlns:v="urn:schemas-microsoft-com:vml" xmlns:o="urn:schemas-microsoft-com:office:office" xmlns:w10="urn:schemas-microsoft-com:office:word" xmlns:wps="http://schemas.microsoft.com/office/word/2010/wordprocessingShape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wp14="http://schemas.microsoft.com/office/word/2010/wordprocessingDrawing" mc:Ignorable="w14 w15 wp14">
  <c:date1904 val="0"/>
  <c:lang val="zh-CN"/>
  <c:roundedCorners val="0"/>
  <c:chart>
    <c:title>
      <c:tx>
        <c:rich>
          <a:bodyPr/>
          <a:lstStyle/>
          <a:p>
            <a:pPr>
              <a:defRPr sz="1100" b="1"/>
            </a:pPr>
            <a:r>
              <a:rPr lang="zh-CN"/>
              <a:t>第二批元素分布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条目数</c:v>
                </c:pt>
              </c:strCache>
            </c:strRef>
          </c:tx>
          <c:spPr>
            <a:solidFill>
              <a:srgbClr val="4A6FA5"/>
            </a:solidFill>
          </c:spPr>
          <c:cat>
            <c:strRef>
              <c:f>Sheet1!$A$2:$A$6</c:f>
              <c:strCache>
                <c:ptCount val="5"/>
                <c:pt idx="0">
                  <c:v>插入元素</c:v>
                </c:pt>
                <c:pt idx="1">
                  <c:v>域与自动更新</c:v>
                </c:pt>
                <c:pt idx="2">
                  <c:v>批量与自动化</c:v>
                </c:pt>
                <c:pt idx="3">
                  <c:v>链接与导航</c:v>
                </c:pt>
                <c:pt idx="4">
                  <c:v>输出打印校对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9</c:v>
                </c:pt>
                <c:pt idx="1">
                  <c:v>4</c:v>
                </c:pt>
                <c:pt idx="2">
                  <c:v>3</c:v>
                </c:pt>
                <c:pt idx="3">
                  <c:v>3</c:v>
                </c:pt>
                <c:pt idx="4">
                  <c:v>6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8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tickLblPos val="nextTo"/>
        <c:txPr>
          <a:bodyPr/>
          <a:lstStyle/>
          <a:p>
            <a:pPr>
              <a:defRPr sz="900"/>
            </a:pPr>
            <a:endParaRPr lang="zh-CN"/>
          </a:p>
        </c:txPr>
        <c:crossAx val="222222222"/>
        <c:crosses val="autoZero"/>
        <c:auto val="1"/>
        <c:lblAlgn val="ctr"/>
        <c:lblOffset val="100"/>
        <c:noMultiLvlLbl val="0"/>
      </c:catAx>
      <c:valAx>
        <c:axId val="222222222"/>
        <c:scaling>
          <c:orientation val="minMax"/>
        </c:scaling>
        <c:delete val="0"/>
        <c:axPos val="l"/>
        <c:majorGridlines/>
        <c:numFmt formatCode="General" sourceLinked="1"/>
        <c:tickLblPos val="nextTo"/>
        <c:txPr>
          <a:bodyPr/>
          <a:lstStyle/>
          <a:p>
            <a:pPr>
              <a:defRPr sz="900"/>
            </a:pPr>
            <a:endParaRPr lang="zh-CN"/>
          </a:p>
        </c:txPr>
        <c:crossAx val="111111111"/>
        <c:crosses val="autoZero"/>
        <c:crossBetween val="between"/>
      </c:valAx>
      <c:spPr>
        <a:noFill/>
        <a:ln>
          <a:noFill/>
        </a:ln>
      </c:spPr>
    </c:plotArea>
    <c:legend>
      <c:legendPos val="b"/>
      <c:overlay val="0"/>
    </c:legend>
    <c:plotVisOnly val="1"/>
    <c:dispBlanksAs val="gap"/>
  </c:chart>
  <c:spPr>
    <a:solidFill>
      <a:srgbClr val="FFFFFF"/>
    </a:solidFill>
    <a:ln>
      <a:solidFill>
        <a:srgbClr val="D9D9D9"/>
      </a:solidFill>
    </a:ln>
  </c:spPr>
  <c:txPr>
    <a:bodyPr/>
    <a:lstStyle/>
    <a:p>
      <a:pPr>
        <a:defRPr sz="1000"/>
      </a:pPr>
      <a:endParaRPr lang="zh-CN"/>
    </a:p>
  </c:txPr>
  <c:externalData r:id="rId1">
    <c:autoUpdate val="0"/>
  </c:externalData>
</c:chartSpace>
</file>

<file path=word/glossary/document.xml><?xml version="1.0" encoding="utf-8"?>
<w:glossaryDocument xmlns:w="http://schemas.openxmlformats.org/wordprocessingml/2006/main" xmlns:mc="http://schemas.openxmlformats.org/markup-compatibility/2006" xmlns:v="urn:schemas-microsoft-com:vml" xmlns:o="urn:schemas-microsoft-com:office:office" xmlns:w10="urn:schemas-microsoft-com:office:word" xmlns:wps="http://schemas.microsoft.com/office/word/2010/wordprocessingShape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wp14="http://schemas.microsoft.com/office/word/2010/wordprocessingDrawing" mc:Ignorable="w14 w15 wp14">
  <w:docParts>
    <w:docPart>
      <w:docPartPr>
        <w:name w:val="示例构建基块"/>
        <w:category>
          <w:name w:val="通用"/>
          <w:gallery w:val="autoTxt"/>
        </w:category>
        <w:description w:val="由后处理写入的构建基块，可在 Word 的构建基块管理器（Ctrl+F3）中看到"/>
      </w:docPartPr>
      <w:docPartBody>
        <w:p>
          <w:pPr>
            <w:pStyle w:val="BodyText"/>
          </w:pPr>
          <w:r>
            <w:t>这是构建基块（自动图文集）的内容，插入时会带上此段文字与样式。</w:t>
          </w:r>
        </w:p>
      </w:docPartBody>
    </w:docPart>
  </w:docParts>
</w:glossaryDocument>
</file>

<file path=word/theme/theme1.xml><?xml version="1.0" encoding="utf-8"?>
<a:theme xmlns:a="http://schemas.openxmlformats.org/drawingml/2006/main" xmlns:mc="http://schemas.openxmlformats.org/markup-compatibility/2006" xmlns:v="urn:schemas-microsoft-com:vml" xmlns:o="urn:schemas-microsoft-com:office:office" xmlns:w10="urn:schemas-microsoft-com:office:word" xmlns:wps="http://schemas.microsoft.com/office/word/2010/wordprocessingShape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wp14="http://schemas.microsoft.com/office/word/2010/wordprocessingDrawing" name="Office 主题​​" mc:Ignorable="w14 w15 wp14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07 - 2010">
      <a:majorFont>
        <a:latin typeface="Times New Roman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project xmlns="http://schemas.example.com/docxmaster/demo">
  <name>docx-master 能力演示</name>
  <code>DOXC-DEMO-001</code>
  <owner>佐罗斯</owner>
  <stage>元素覆盖验证</stage>
  <elements>
    <element id="insert">插入元素</element>
    <element id="field">域与自动更新内容</element>
    <element id="batch">批量与自动化</element>
    <element id="nav">链接与导航</element>
    <element id="output">输出、打印与校对</element>
  </elements>
  <reviewers>
    <reviewer role="author">佐罗斯</reviewer>
    <reviewer role="engine">docx-master Node OOXML</reviewer>
    <reviewer role="postproc">pp1-pp4 补丁链</reviewer>
  </reviewers>
</project>
</file>

<file path=customXml/itemProps1.xml><?xml version="1.0" encoding="utf-8"?>
<ds:datastoreItem xmlns:ds="http://schemas.openxmlformats.org/officeDocument/2006/customXml" ds:itemID="{8F1A2B3C-4D5E-6F70-8192-A3B4C5D6E7F8}">
  <ds:schemaRefs>
    <ds:schemaRef ds:uri="http://schemas.example.com/docxmaster/demo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Manager/>
  <Company>docx-master</Company>
  <Pages>2</Pages>
  <Words>6917</Words>
  <Characters>10474</Characters>
  <PresentationFormat/>
  <Lines>415</Lines>
  <Paragraphs>415</Paragraphs>
  <TotalTime>0</TotalTime>
  <ScaleCrop>false</ScaleCrop>
  <LinksUpToDate>false</LinksUpToDate>
  <CharactersWithSpaces>11198</CharactersWithSpaces>
  <SharedDoc>false</SharedDoc>
  <HyperlinksChanged>false</HyperlinksChanged>
  <Application>docx-master</Application>
  <AppVersion>16.0000</AppVers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docx-master 能力演示</dc:title>
  <dc:subject>OOXML 全元素覆盖示例文档</dc:subject>
  <dc:creator>佐罗斯</dc:creator>
  <cp:keywords>docx;OOXML;Word;docx-master</cp:keywords>
  <dc:description>由 docx-master 引擎与 OOXML 后处理补丁生成的元素覆盖示例。</dc:description>
  <cp:lastModifiedBy>佐罗斯</cp:lastModifiedBy>
  <cp:revision>2</cp:revision>
  <dcterms:created xsi:type="dcterms:W3CDTF">2026-10-10T04:30:00Z</dcterms:created>
  <dcterms:modified xsi:type="dcterms:W3CDTF">2026-10-11T06:20:19Z</dcterms:modified>
  <cp:category>示例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项目代号">
    <vt:lpwstr>DOXC-DEMO-001</vt:lpwstr>
  </property>
  <property fmtid="{D5CDD505-2E9C-101B-9397-08002B2CF9AE}" pid="3" name="密级">
    <vt:lpwstr>内部</vt:lpwstr>
  </property>
  <property fmtid="{D5CDD505-2E9C-101B-9397-08002B2CF9AE}" pid="4" name="生成方式">
    <vt:lpwstr>docx-master 引擎 + OOXML 后处理补丁</vt:lpwstr>
  </property>
</Properties>
</file>