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ish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mavzusi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: GAZLARDA ELEKTR TOKI</w:t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Reja</w:t>
      </w:r>
      <w:proofErr w:type="spellEnd"/>
    </w:p>
    <w:p w:rsidR="00204F28" w:rsidRPr="00204F28" w:rsidRDefault="00204F28" w:rsidP="00204F28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Gazlarda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elektr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toki</w:t>
      </w:r>
      <w:proofErr w:type="spellEnd"/>
    </w:p>
    <w:p w:rsidR="00204F28" w:rsidRPr="00204F28" w:rsidRDefault="00204F28" w:rsidP="00204F28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 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fldChar w:fldCharType="begin"/>
      </w:r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instrText xml:space="preserve"> HYPERLINK "https://fayllar.org/gazlarda-elektr-toki-mustaqil-va-nomustaqil-razryadlar-plazma-v2.html" </w:instrText>
      </w:r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b/>
          <w:bCs/>
          <w:color w:val="0000FF"/>
          <w:sz w:val="24"/>
          <w:szCs w:val="24"/>
          <w:u w:val="single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b/>
          <w:bCs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000FF"/>
          <w:sz w:val="24"/>
          <w:szCs w:val="24"/>
          <w:u w:val="single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b/>
          <w:bCs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000FF"/>
          <w:sz w:val="24"/>
          <w:szCs w:val="24"/>
          <w:u w:val="single"/>
          <w:lang w:val="en-US"/>
        </w:rPr>
        <w:t>razryadlar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fldChar w:fldCharType="end"/>
      </w:r>
    </w:p>
    <w:p w:rsidR="00204F28" w:rsidRPr="00204F28" w:rsidRDefault="00204F28" w:rsidP="00204F28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haqida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tushuncha</w:t>
      </w:r>
      <w:proofErr w:type="spellEnd"/>
    </w:p>
    <w:p w:rsidR="00204F28" w:rsidRPr="00204F28" w:rsidRDefault="00204F28" w:rsidP="00204F28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Xulosa</w:t>
      </w:r>
      <w:proofErr w:type="spellEnd"/>
    </w:p>
    <w:p w:rsidR="00204F28" w:rsidRPr="00204F28" w:rsidRDefault="00204F28" w:rsidP="00204F28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24"/>
          <w:szCs w:val="24"/>
          <w:lang w:val="en-US"/>
        </w:rPr>
        <w:t>Adabiyotlar</w:t>
      </w:r>
      <w:proofErr w:type="spellEnd"/>
    </w:p>
    <w:p w:rsidR="00204F28" w:rsidRPr="00204F28" w:rsidRDefault="00204F28" w:rsidP="0020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Rekombinatsiya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ionlashish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jarayoni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bilan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birga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rekombinatsiya-ionlarning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neytral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atomlar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yoki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molekulalarga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aylanish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jarayoni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ro`y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beradi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. Agar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ionizatorning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tasiri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to`xtasa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gazning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o`tkazuvchanligi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 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fldChar w:fldCharType="begin"/>
      </w:r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instrText xml:space="preserve"> HYPERLINK "https://fayllar.org/toshkent-axborot-texnologiyalari-universiteti-qarshi-filiali-k-v11.html" </w:instrText>
      </w:r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fldChar w:fldCharType="separate"/>
      </w:r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lang w:val="en-US"/>
        </w:rPr>
        <w:t>yomonlasha</w:t>
      </w:r>
      <w:proofErr w:type="spellEnd"/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lang w:val="en-US"/>
        </w:rPr>
        <w:t>boradi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fldChar w:fldCharType="end"/>
      </w:r>
    </w:p>
    <w:p w:rsidR="00204F28" w:rsidRPr="00204F28" w:rsidRDefault="00204F28" w:rsidP="00204F28">
      <w:pPr>
        <w:numPr>
          <w:ilvl w:val="0"/>
          <w:numId w:val="2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Rekombinatsiya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ionlashish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jarayoni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bilan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birga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rekombinatsiya-ionlarning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neytral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atomlar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yoki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molekulalarga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aylanish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jarayoni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ro`y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beradi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Agar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ionizatorning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tasiri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to`xtasa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o`tkazuvchanligi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yomonlasha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boradi</w:t>
      </w:r>
      <w:proofErr w:type="spellEnd"/>
    </w:p>
    <w:p w:rsidR="00204F28" w:rsidRPr="00204F28" w:rsidRDefault="00204F28" w:rsidP="00204F28">
      <w:pPr>
        <w:numPr>
          <w:ilvl w:val="0"/>
          <w:numId w:val="2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Ionizatorning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quvvati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o`zgarmaydigan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bo`lsa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ionlashish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rekombinatsiya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jarayonlari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o`rtasida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dinamik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muvozanat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 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begin"/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instrText xml:space="preserve"> HYPERLINK "https://fayllar.org/1-al-farobiy-va-abu-rayhon-beruniyning-psixologik-qarashlari.html" </w:instrText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vaziyati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vujudga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keladi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end"/>
      </w:r>
    </w:p>
    <w:p w:rsidR="00204F28" w:rsidRPr="00204F28" w:rsidRDefault="00204F28" w:rsidP="00204F28">
      <w:pPr>
        <w:numPr>
          <w:ilvl w:val="0"/>
          <w:numId w:val="2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Demak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 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begin"/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instrText xml:space="preserve"> HYPERLINK "https://fayllar.org/elektr-yoyining-umumiy-tavsiflari-payvandlash-yoyi-xususiyatla.html" </w:instrText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erkin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elektronlar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musbat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manfiy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mavjud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bo`ladi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elektr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o`tishiga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.</w:t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razryad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tokning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ionlashtiruvchi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tasirida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vujudga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kelishiga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. Bu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jarayonni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batafsilroq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o`rganaylik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Aytaylik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kondensator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lastRenderedPageBreak/>
        <w:t>qoplamalari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orasidagi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bo`shliqqa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ultrabinafsha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nurlar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tasir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etayotgan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bo`lsin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Kondensator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qoplamalari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orasida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ionlashuv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jarayoni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ro`y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berib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qarama-qarshi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zaryadlangan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zarralar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vujudga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keladi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lang w:val="en-US"/>
        </w:rPr>
        <w:t>.</w:t>
      </w:r>
    </w:p>
    <w:p w:rsidR="00204F28" w:rsidRPr="00204F28" w:rsidRDefault="00204F28" w:rsidP="00204F28">
      <w:pPr>
        <w:numPr>
          <w:ilvl w:val="0"/>
          <w:numId w:val="3"/>
        </w:numPr>
        <w:shd w:val="clear" w:color="auto" w:fill="EDEEEF"/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ionlashtiruvchi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tasirida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vujudga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kelishiga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Bu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jarayonni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batafsilroq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o`rganaylik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Aytaylik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kondensator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qoplamalari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orasidagi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bo`shliqqa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ultrabinafsha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nurlar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tasir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etayotgan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bo`lsin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Kondensator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qoplamalari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orasida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ionlashuv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jarayoni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ro`y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berib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qarama-qarshi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zaryadlangan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zarralar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vujudga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keladi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.</w:t>
      </w:r>
    </w:p>
    <w:p w:rsidR="00204F28" w:rsidRPr="00204F28" w:rsidRDefault="00204F28" w:rsidP="00204F2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razryadlar</w:t>
      </w:r>
      <w:proofErr w:type="spellEnd"/>
    </w:p>
    <w:p w:rsidR="00204F28" w:rsidRPr="00204F28" w:rsidRDefault="00204F28" w:rsidP="00204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Kuchlanishning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yanada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oshirilishida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tok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kuchi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keskin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ortadi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ionizator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olinganida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davom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etadi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 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fldChar w:fldCharType="begin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instrText xml:space="preserve"> HYPERLINK "https://fayllar.org/yigirmanchi-yanvar-ona-tili-va-oqish-savodxonligi.html" </w:instrText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Demak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endi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o`tkazuvchanligini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taminlash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uchun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zarur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bo`lgan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ionlarni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o`zi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vujudga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keltiradi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ionizatorning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tasiri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tugagandan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keyin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davom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etadigan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</w:p>
    <w:p w:rsidR="00204F28" w:rsidRPr="00204F28" w:rsidRDefault="00204F28" w:rsidP="00204F2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haqida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tushuncha</w:t>
      </w:r>
      <w:proofErr w:type="spellEnd"/>
    </w:p>
    <w:p w:rsidR="00204F28" w:rsidRPr="00204F28" w:rsidRDefault="00204F28" w:rsidP="00204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deb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lektronlarining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kontsentratsiyasi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musbat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ionlarining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kontsentratsiyasiga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taxminan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teng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bo`lgan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kuchli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ionlashgan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aytiladi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Temperatura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ko`tarila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borgan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sari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soni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ortib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boradi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neytral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atomlar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shuncha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kam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qoladi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Bunday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elektron-ionli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kontsentratsiyasi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kontsentratsiyasiga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teng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bo`lganligi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uchun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uni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elektroneytral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undagi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hajmiy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zaryad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zichligi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esa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nolga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teng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deb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hisoblash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mumkin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</w:p>
    <w:p w:rsidR="00204F28" w:rsidRPr="00204F28" w:rsidRDefault="00204F28" w:rsidP="00204F2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Plazmaning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xossalari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neytral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xossalaridan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farq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qiladigan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bir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qator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maxsus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xossalarga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egadir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. Bu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xossalar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uni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moddaning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to`rtinchi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agregat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holati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deb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qarashga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asos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bo`ladi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Neytral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molekulalari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orasidagi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 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fldChar w:fldCharType="begin"/>
      </w:r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instrText xml:space="preserve"> HYPERLINK "https://fayllar.org/garbiy-dialektik-shakllar.html" </w:instrText>
      </w:r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fldChar w:fldCharType="separate"/>
      </w:r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shd w:val="clear" w:color="auto" w:fill="EDEEEF"/>
          <w:lang w:val="en-US"/>
        </w:rPr>
        <w:t>tasirdan</w:t>
      </w:r>
      <w:proofErr w:type="spellEnd"/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shd w:val="clear" w:color="auto" w:fill="EDEEEF"/>
          <w:lang w:val="en-US"/>
        </w:rPr>
        <w:t>farqli</w:t>
      </w:r>
      <w:proofErr w:type="spellEnd"/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000FF"/>
          <w:sz w:val="36"/>
          <w:szCs w:val="36"/>
          <w:u w:val="single"/>
          <w:shd w:val="clear" w:color="auto" w:fill="EDEEEF"/>
          <w:lang w:val="en-US"/>
        </w:rPr>
        <w:t>ravishda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fldChar w:fldCharType="end"/>
      </w:r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plazmadagi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zarralarning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o`zaro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tasiri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kulon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tortishish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itarish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kuchlari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bilan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xarakterlanadi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.</w:t>
      </w:r>
    </w:p>
    <w:p w:rsidR="00204F28" w:rsidRPr="00204F28" w:rsidRDefault="00204F28" w:rsidP="00204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xossalari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neytral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xossalaridan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farq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qiladigan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bir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qator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maxsus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xossalarga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egadir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Bu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xossalar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uni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moddaning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to`rtinchi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agregat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holati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deb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qarashga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asos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bo`ladi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Neytral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molekulalari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orasidagi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tasirdan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farqli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ravishda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zarralarning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o`zaro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tasiri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kulon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tortishish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itarish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kuchlari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bilan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xarakterlanadi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</w:p>
    <w:p w:rsidR="00204F28" w:rsidRPr="00204F28" w:rsidRDefault="00204F28" w:rsidP="00204F2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  <w:t>Xulosa</w:t>
      </w:r>
      <w:proofErr w:type="spellEnd"/>
    </w:p>
    <w:p w:rsidR="00204F28" w:rsidRPr="00204F28" w:rsidRDefault="00204F28" w:rsidP="00204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Xulosa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qilib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shuni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aytishim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mumkinki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fizikasi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fanining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yutuqlari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texnikada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juda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keng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qo`llanilishi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mumkin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</w:p>
    <w:p w:rsidR="00204F28" w:rsidRPr="00204F28" w:rsidRDefault="00204F28" w:rsidP="00204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Ionlashgan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erkin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musbat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manfiy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mavjud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bo`ladi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tokining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o`tishiga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tokning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ionlashtiruvchi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tasirida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vujudga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kelishiga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ionizatorning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tasiri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tugagandan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keyin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davom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etadigan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</w:p>
    <w:p w:rsidR="00204F28" w:rsidRDefault="00204F28" w:rsidP="00204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Plazma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deb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elektronlarining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kontsentratsiyasi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musbat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ionlarining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kontsentratsiyasiga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taxminan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teng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bo`lgan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kuchli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ionlashgan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gazga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aytiladi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o’lchash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uchun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zanjirga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galgidek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sezgirligi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yuqori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darajada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bo’lgan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gal’vonometr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ulanadi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Kondensator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qoplamalari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orasidagi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havo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bo’shlig’ida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zanjir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uzuk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bo’lganligi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uchun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gal’vonometr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ko’rsatmaydi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Qoplamalar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orasiga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yonib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turgan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gugurt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cho’pni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kiritsak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alanga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ionizator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vazifasini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bajaradi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Havo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molekulalarining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ionlashishi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natijasida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harakatchan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zaryad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tashuvchilar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paydo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bo’ladi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molekulalarining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ionlashishi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ul’trabinafsha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 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begin"/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instrText xml:space="preserve"> HYPERLINK "https://fayllar.org/18-mavzu-yoruglik-difraksiyasi-gyuygens--frenel-qoidasi.html" </w:instrText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 xml:space="preserve"> roentgen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lang w:val="en-US"/>
        </w:rPr>
        <w:t>nurlari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, - 1</w:t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- </w:t>
      </w:r>
      <w:proofErr w:type="spellStart"/>
      <w:proofErr w:type="gram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kvantlarelektron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,</w:t>
      </w:r>
      <w:proofErr w:type="gram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proton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d-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zarralar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oqimi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ta’sirida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kuzatiladi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Ionlashgan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erkin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elektronlar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hamda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musbat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manfiy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harakatchan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zaryadlar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tashuvchi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hisoblanadi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Kondensator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qoplamalari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orasidagi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elektr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maydon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tasirida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musbat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manfiy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zaryadli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qoplama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tomon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manfiy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ishorali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erkin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elektronlar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musbat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zaryadli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qoplama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tomon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harakatga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keladi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Gazlardan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elektr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tokining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o’tishi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hodisasi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gazlarning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razryadlanishi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.</w:t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Kuchlanishi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qiymatlarida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tashqi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ionizator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ta’siri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yo’qotilsa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ham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razryadning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davom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etishiga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deyiladi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4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xil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bo’ladi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.</w:t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Yolqin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uchun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yoy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.</w:t>
      </w:r>
    </w:p>
    <w:p w:rsidR="00204F28" w:rsidRPr="00204F28" w:rsidRDefault="00204F28" w:rsidP="00204F28">
      <w:pPr>
        <w:shd w:val="clear" w:color="auto" w:fill="EDEEE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C0E0D"/>
          <w:sz w:val="24"/>
          <w:szCs w:val="24"/>
          <w:lang w:val="en-US"/>
        </w:rPr>
      </w:pP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Yolqin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siyraklashgan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gazlarda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kuzatiladi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faqat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maydon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kuchlanganligi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juda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yuqori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bo’lgan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elektrod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uchliklari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yaqinida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sodir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bo’ladi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Tok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razryad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gazlarni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turli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chang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iflos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aralashmalardan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tozalovchidir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t>.</w:t>
      </w:r>
    </w:p>
    <w:p w:rsidR="00204F28" w:rsidRPr="00204F28" w:rsidRDefault="00204F28" w:rsidP="00204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Tayanch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tushinchalar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r w:rsidRPr="00204F28">
        <w:rPr>
          <w:rFonts w:ascii="Tahoma" w:eastAsia="Times New Roman" w:hAnsi="Tahoma" w:cs="Tahoma"/>
          <w:color w:val="0C0E0D"/>
          <w:sz w:val="24"/>
          <w:szCs w:val="24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Elektr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toki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 </w:t>
      </w:r>
      <w:proofErr w:type="spellStart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"https://fayllar.org/taqdimot-ishi-qabul-qidli--xidirov-d-mavzu-saqlanish-qonunlari.html" </w:instrText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zanjirning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saqlanish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qonuni</w:t>
      </w:r>
      <w:proofErr w:type="spellEnd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, vacuum, </w:t>
      </w:r>
      <w:proofErr w:type="spellStart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"https://fayllar.org/reja-termoelektron-emissiya-qonuniyatlari-metallarda-elektron.html" </w:instrText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termoelektron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emissiya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diod</w:t>
      </w:r>
      <w:proofErr w:type="spellEnd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triod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kenotron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, dipole, </w:t>
      </w:r>
      <w:proofErr w:type="spellStart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"https://fayllar.org/elektrolit-eritmalar-va-tuzlarning-gidrolizi-reja-elektrolit-e-v4.html" </w:instrText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elektrolit</w:t>
      </w:r>
      <w:proofErr w:type="spellEnd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, </w:t>
      </w:r>
      <w:proofErr w:type="spellStart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"https://fayllar.org/elektroliz-jarayoni-elektroliz-va-uning-amaliy-ahamiyati.html" </w:instrText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elektroliz</w:t>
      </w:r>
      <w:proofErr w:type="spellEnd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gal’vonaplastinka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gal’vonastregiya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 </w:t>
      </w:r>
      <w:proofErr w:type="spellStart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"https://fayllar.org/ozbekiston-respublikasi-raqamli-texnologiyalar-vazirligi-muham.html" </w:instrText>
      </w:r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nomustaqil</w:t>
      </w:r>
      <w:proofErr w:type="spellEnd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razryad</w:t>
      </w:r>
      <w:proofErr w:type="spellEnd"/>
      <w:r w:rsidRPr="00204F28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mustaqil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razryad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.</w:t>
      </w:r>
      <w:bookmarkStart w:id="0" w:name="_GoBack"/>
      <w:bookmarkEnd w:id="0"/>
    </w:p>
    <w:p w:rsidR="00204F28" w:rsidRPr="00204F28" w:rsidRDefault="00204F28" w:rsidP="00204F2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C0E0D"/>
          <w:sz w:val="36"/>
          <w:szCs w:val="36"/>
          <w:shd w:val="clear" w:color="auto" w:fill="EDEEEF"/>
          <w:lang w:val="en-US"/>
        </w:rPr>
      </w:pP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u w:val="single"/>
          <w:shd w:val="clear" w:color="auto" w:fill="EDEEEF"/>
          <w:lang w:val="en-US"/>
        </w:rPr>
        <w:t>Foydalanilgan</w:t>
      </w:r>
      <w:proofErr w:type="spellEnd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u w:val="single"/>
          <w:shd w:val="clear" w:color="auto" w:fill="EDEEEF"/>
          <w:lang w:val="en-US"/>
        </w:rPr>
        <w:t> </w:t>
      </w:r>
      <w:proofErr w:type="spellStart"/>
      <w:r w:rsidRPr="00204F28">
        <w:rPr>
          <w:rFonts w:ascii="Tahoma" w:eastAsia="Times New Roman" w:hAnsi="Tahoma" w:cs="Tahoma"/>
          <w:b/>
          <w:bCs/>
          <w:color w:val="0C0E0D"/>
          <w:sz w:val="36"/>
          <w:szCs w:val="36"/>
          <w:u w:val="single"/>
          <w:shd w:val="clear" w:color="auto" w:fill="EDEEEF"/>
          <w:lang w:val="en-US"/>
        </w:rPr>
        <w:t>Adabiyotlar</w:t>
      </w:r>
      <w:proofErr w:type="spellEnd"/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  <w:t>A.G</w:t>
      </w:r>
      <w:proofErr w:type="gram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’.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G’aniev</w:t>
      </w:r>
      <w:proofErr w:type="spellEnd"/>
      <w:proofErr w:type="gram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A.K.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Avliyoqulov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G.A.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Almardonova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“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Fzika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” 1-qism 238-243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betlar</w:t>
      </w:r>
      <w:proofErr w:type="spellEnd"/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X.Axmedov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, </w:t>
      </w:r>
      <w:proofErr w:type="spellStart"/>
      <w:proofErr w:type="gram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M.Doniyev</w:t>
      </w:r>
      <w:proofErr w:type="gram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,Z.Husanov.Fizikadan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maruza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matni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 xml:space="preserve"> 2004 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t>yil</w:t>
      </w:r>
      <w:proofErr w:type="spellEnd"/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  <w:t>Internet </w:t>
      </w:r>
      <w:proofErr w:type="spellStart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fldChar w:fldCharType="begin"/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instrText xml:space="preserve"> HYPERLINK "https://fayllar.org/internet-saytlari.html" </w:instrText>
      </w: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fldChar w:fldCharType="separate"/>
      </w:r>
      <w:r w:rsidRPr="00204F28">
        <w:rPr>
          <w:rFonts w:ascii="Tahoma" w:eastAsia="Times New Roman" w:hAnsi="Tahoma" w:cs="Tahoma"/>
          <w:color w:val="0000FF"/>
          <w:sz w:val="24"/>
          <w:szCs w:val="24"/>
          <w:u w:val="single"/>
          <w:shd w:val="clear" w:color="auto" w:fill="EDEEEF"/>
          <w:lang w:val="en-US"/>
        </w:rPr>
        <w:t>saytlari</w:t>
      </w:r>
      <w:proofErr w:type="spellEnd"/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fldChar w:fldCharType="end"/>
      </w:r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  <w:t>Wolfram.com</w:t>
      </w:r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  <w:t>Phys.org</w:t>
      </w:r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  <w:r w:rsidRPr="00204F28"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  <w:br/>
        <w:t>Aps.org</w:t>
      </w:r>
    </w:p>
    <w:p w:rsidR="00204F28" w:rsidRPr="00204F28" w:rsidRDefault="00204F28" w:rsidP="00204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C0E0D"/>
          <w:sz w:val="24"/>
          <w:szCs w:val="24"/>
          <w:shd w:val="clear" w:color="auto" w:fill="EDEEEF"/>
          <w:lang w:val="en-US"/>
        </w:rPr>
      </w:pPr>
    </w:p>
    <w:p w:rsidR="00BE0792" w:rsidRDefault="00BE0792"/>
    <w:sectPr w:rsidR="00BE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108"/>
    <w:multiLevelType w:val="multilevel"/>
    <w:tmpl w:val="D45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F33CE"/>
    <w:multiLevelType w:val="multilevel"/>
    <w:tmpl w:val="5E8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A723E"/>
    <w:multiLevelType w:val="multilevel"/>
    <w:tmpl w:val="228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73A81"/>
    <w:multiLevelType w:val="multilevel"/>
    <w:tmpl w:val="3E1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246F39"/>
    <w:multiLevelType w:val="multilevel"/>
    <w:tmpl w:val="408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E4246"/>
    <w:multiLevelType w:val="multilevel"/>
    <w:tmpl w:val="5D4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F7DD6"/>
    <w:multiLevelType w:val="multilevel"/>
    <w:tmpl w:val="8CF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C5E9E"/>
    <w:multiLevelType w:val="multilevel"/>
    <w:tmpl w:val="3EF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28"/>
    <w:rsid w:val="00204F28"/>
    <w:rsid w:val="00B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290"/>
  <w15:chartTrackingRefBased/>
  <w15:docId w15:val="{05788F15-9426-4A85-8E40-0E8845F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z-Cyrl-UZ"/>
    </w:rPr>
  </w:style>
  <w:style w:type="paragraph" w:styleId="Heading2">
    <w:name w:val="heading 2"/>
    <w:basedOn w:val="Normal"/>
    <w:link w:val="Heading2Char"/>
    <w:uiPriority w:val="9"/>
    <w:qFormat/>
    <w:rsid w:val="00204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F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4F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2023-12-18T19:45:00Z</dcterms:created>
  <dcterms:modified xsi:type="dcterms:W3CDTF">2023-12-18T19:46:00Z</dcterms:modified>
</cp:coreProperties>
</file>