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SIRD — Sistema Inteligente de Reconocimiento por Desempeño</w:t>
      </w:r>
    </w:p>
    <w:p>
      <w:r>
        <w:t>Propuesta integral (consultoría + diseño de producto) para un esquema de **bono variable</w:t>
      </w:r>
    </w:p>
    <w:p>
      <w:r>
        <w:t>adicional basado en desempeño**, evaluado con apoyo de IA, para un equipo de desarrollo de</w:t>
      </w:r>
    </w:p>
    <w:p>
      <w:r>
        <w:t>software.</w:t>
      </w:r>
    </w:p>
    <w:p>
      <w:pPr>
        <w:pStyle w:val="Heading1"/>
      </w:pPr>
      <w:r>
        <w:t>Por dónde empezar</w:t>
      </w:r>
    </w:p>
    <w:p>
      <w:r>
        <w:t xml:space="preserve">👉 </w:t>
      </w:r>
      <w:r>
        <w:rPr>
          <w:b/>
        </w:rPr>
        <w:t>Lee primero [`00-CONTEXTO-Y-DECISIONES.md`](00-CONTEXTO-Y-DECISIONES.md)</w:t>
      </w:r>
      <w:r>
        <w:t xml:space="preserve"> — es la base de</w:t>
      </w:r>
    </w:p>
    <w:p>
      <w:r>
        <w:t>conocimiento: contexto, decisiones tomadas, riesgos, estado y cómo retomar el trabajo.</w:t>
      </w:r>
    </w:p>
    <w:p>
      <w:pPr>
        <w:pStyle w:val="Heading1"/>
      </w:pPr>
      <w:r>
        <w:t>Índice de entregables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Documento</w:t>
            </w:r>
          </w:p>
        </w:tc>
        <w:tc>
          <w:tcPr>
            <w:tcW w:type="dxa" w:w="2880"/>
            <w:shd w:val="clear" w:color="auto" w:fill="DDEBF7"/>
          </w:tcPr>
          <w:p>
            <w:r>
              <w:rPr>
                <w:b/>
                <w:sz w:val="20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Base de conocimiento y decisiones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0b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Conversación con Gerencia (feedback)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Documento para Gerencia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Esquema de puntuación por perfil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Algoritmo de puntuación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Aplicación web (+ app de registro de fitcoins)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FitVault (registro de fitcoins)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Modelo de 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Arquitectura técnica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Modelo de datos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APIs REST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color w:val="1F3864"/>
                <w:sz w:val="20"/>
                <w:u w:val="single"/>
              </w:rPr>
              <w:t>Plan de MVP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✅</w:t>
            </w:r>
          </w:p>
        </w:tc>
      </w:tr>
    </w:tbl>
    <w:p>
      <w:pPr>
        <w:spacing w:after="40"/>
      </w:pPr>
    </w:p>
    <w:p>
      <w:pPr>
        <w:pStyle w:val="Heading1"/>
      </w:pPr>
      <w:r>
        <w:t>Decisiones clave (resumen)</w:t>
      </w:r>
    </w:p>
    <w:p>
      <w:pPr>
        <w:pStyle w:val="ListBullet"/>
      </w:pPr>
      <w:r>
        <w:t xml:space="preserve">Bono </w:t>
      </w:r>
      <w:r>
        <w:rPr>
          <w:b/>
        </w:rPr>
        <w:t>techo individual</w:t>
      </w:r>
      <w:r>
        <w:t xml:space="preserve"> hasta </w:t>
      </w:r>
      <w:r>
        <w:rPr>
          <w:b/>
        </w:rPr>
        <w:t>USD 100/mes</w:t>
      </w:r>
      <w:r>
        <w:t>, no suma cero. Los bonos fijos actuales se mantienen.</w:t>
      </w:r>
    </w:p>
    <w:p>
      <w:pPr>
        <w:pStyle w:val="ListBullet"/>
      </w:pPr>
      <w:r>
        <w:t xml:space="preserve">Datos disponibles hoy: </w:t>
      </w:r>
      <w:r>
        <w:rPr>
          <w:b/>
        </w:rPr>
        <w:t>tickets + Git</w:t>
      </w:r>
      <w:r>
        <w:t xml:space="preserve"> (sin CI/CD ni monitoreo de producción aún).</w:t>
      </w:r>
    </w:p>
    <w:p>
      <w:pPr>
        <w:pStyle w:val="ListBullet"/>
      </w:pPr>
      <w:r>
        <w:t xml:space="preserve">Tickets en modo </w:t>
      </w:r>
      <w:r>
        <w:rPr>
          <w:b/>
        </w:rPr>
        <w:t>pull</w:t>
      </w:r>
      <w:r>
        <w:t xml:space="preserve"> con salvaguardas anti-cherry-picking.</w:t>
      </w:r>
    </w:p>
    <w:p>
      <w:pPr>
        <w:pStyle w:val="ListBullet"/>
      </w:pPr>
      <w:r>
        <w:rPr>
          <w:b/>
        </w:rPr>
        <w:t>La IA sugiere; un comité de calibración valida.</w:t>
      </w:r>
      <w:r>
        <w:t xml:space="preserve"> Nunca decide la IA.</w:t>
      </w:r>
    </w:p>
    <w:p>
      <w:pPr>
        <w:pStyle w:val="ListBullet"/>
      </w:pPr>
      <w:r>
        <w:t xml:space="preserve">Se premia </w:t>
      </w:r>
      <w:r>
        <w:rPr>
          <w:b/>
        </w:rPr>
        <w:t>calidad, impacto y causa raíz</w:t>
      </w:r>
      <w:r>
        <w:t>, no el volumen de tickets cerrados.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69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