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May 2026</w:t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atLeas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Account scoring system framework development is underway for the China market.</w:t>
            </w: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Mando hobbing process visit is scheduled for the following week with participation from Cook Yang MFE BUTC02 facility.</w:t>
            </w:r>
          </w:p>
          <w:p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 xml:space="preserve">VA/VE project has been added to Falcon reporting and regular PMO review processes.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 xml:space="preserve">NIO project nomination has been finalized with nomination letter received, establishing monthly demand of 32K sets.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Brose has reduced seating gearbox pricing to 13 RMB, positioning well below current cost structure.</w:t>
            </w:r>
          </w:p>
          <w:p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Bosch closed its Changchun plant with minimal notice, creating supply chain uncertainty as volume transfer to Changsha plant remains unconfirmed.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atLeas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  <w:r>
              <w:t xml:space="preserve">Bosch Changchun plant closure was executed with very short notice and volume transfer confirmation to the Changsha facility is still pending.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 xml:space="preserve">(no entries)</w:t>
            </w: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