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Mando hobbing process visit scheduled for the following week with participation from Cook Yang MFE BUTC02 facility.</w:t>
            </w:r>
          </w:p>
          <w:p>
            <w:pPr>
              <w:spacing w:before="0" w:after="0" w:line="120" w:lineRule="exact"/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initiated for China market.</w:t>
            </w:r>
          </w:p>
          <w:p>
            <w:pPr>
              <w:spacing w:before="0" w:after="0" w:line="120" w:lineRule="exact"/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VA/VE project integrated into Falcon reporting with regular PMO review cadence established.</w:t>
            </w: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finalized with nomination letter received, establishing monthly demand baseline of 32,000 units.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reduced seating gearbox pricing to 13 RMB, positioning significantly below current cost structure and indicating competitive pressure in the segment.</w:t>
            </w: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Bosch executed unplanned closure of Changchun plant with minimal notice; volume transfer confirmation to Changsha facility remains outstanding and creates supply chain uncertainty.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(no entries)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