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for China market is underway. VA/VE project has been integrated into Falcon reporting with regular PMO review governance. Mando hobbing process visit scheduled with Cook Yang MFE BUTC02 participation.</w:t>
            </w: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finalized with receipt of official nomination letter, establishing monthly demand baseline of 32K sets.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reduced seating gearbox pricing to 13 RMB, positioning significantly below our current cost structure. Brose is identified as competitive threat in China seating gearbox segment.</w:t>
            </w: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 executed unplanned closure of Changchun plant with minimal notice; volume transfer confirmation to Changsha facility remains pending.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NIO project nomination officially awarded with formal notification received.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