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 xml:space="preserve">May 2026</w:t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 w:before="0" w:line="1" w:lineRule="exact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1" w:lineRule="exact" w:before="0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atLeas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Account scoring system framework development is underway for the China market to enhance customer segmentation and risk management.</w:t>
            </w:r>
          </w:p>
          <w:p>
            <w:pPr>
              <w:spacing w:before="0" w:after="0" w:line="240" w:lineRule="auto"/>
            </w:pP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Mando hobbing process visit is scheduled for next week with participation from Cook Yang MFE BUTC02 facility to support manufacturing optimization.</w:t>
            </w:r>
          </w:p>
          <w:p>
            <w:pPr>
              <w:spacing w:before="0" w:after="0" w:line="240" w:lineRule="auto"/>
            </w:pP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VA/VE project has been integrated into Falcon reporting with regular PMO review cycles established.</w:t>
            </w: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rPr>
                <w:lang w:val="en-US"/>
              </w:rPr>
            </w:pPr>
            <w:r>
              <w:t xml:space="preserve">NIO project nomination has been finalized with nomination letter received, securing this key customer win.</w:t>
            </w:r>
          </w:p>
          <w:p>
            <w:pPr>
              <w:spacing w:before="0" w:after="0" w:line="240" w:lineRule="auto"/>
            </w:pPr>
          </w:p>
          <w:p>
            <w:pPr>
              <w:spacing w:before="120" w:after="120"/>
              <w:jc w:val="both"/>
              <w:rPr>
                <w:lang w:val="en-US"/>
              </w:rPr>
            </w:pPr>
            <w:r>
              <w:t xml:space="preserve">JF-HCMF achieved NIO HTA Award, demonstrating competitive strength in the premium segment.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Brose has reduced seating gearbox pricing to 13 RMB, significantly undercutting our current cost position and indicating intensified competitive pressure in the China market.</w:t>
            </w:r>
          </w:p>
          <w:p>
            <w:pPr>
              <w:spacing w:before="0" w:after="0" w:line="240" w:lineRule="auto"/>
            </w:pPr>
          </w:p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Bosch closed its Changchun plant with minimal notice, creating market uncertainty regarding volume redistribution to the Changsha facility.</w:t>
            </w: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atLeas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Volume transfer from Bosch's closed Changchun plant to Changsha has not yet been confirmed, creating supply chain uncertainty.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Bosch has closed its Changchun manufacturing facility on short notice, requiring market reassessment for regional capacity planning.</w:t>
            </w: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  <w:spacing w:before="0" w:after="0" w:line="1" w:lineRule="exact"/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