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 xml:space="preserve">May 2026</w:t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 w:before="0" w:line="1" w:lineRule="exact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1" w:lineRule="exact" w:before="0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atLeas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Mando hobbing process visit is scheduled for next week with manufacturing team participation to advance the production methodology.</w:t>
            </w:r>
          </w:p>
          <w:p>
            <w:pPr>
              <w:spacing w:before="0" w:after="0" w:line="240" w:lineRule="auto"/>
            </w:pP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Account scoring system framework development is underway for the China market to strengthen customer segmentation and risk assessment.</w:t>
            </w:r>
          </w:p>
          <w:p>
            <w:pPr>
              <w:spacing w:before="0" w:after="0" w:line="240" w:lineRule="auto"/>
            </w:pP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VA/VE project has been integrated into Falcon reporting and added to regular PMO review cycles.</w:t>
            </w: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rPr>
                <w:lang w:val="en-US"/>
              </w:rPr>
            </w:pPr>
            <w:r>
              <w:t xml:space="preserve">NIO project nomination has been finalized with receipt of the official nomination letter, securing monthly demand of 32,000 sets.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Brose has introduced a copycat gearbox design in the China market, indicating competitive pressure in the local transmission segment.</w:t>
            </w:r>
          </w:p>
          <w:p>
            <w:pPr>
              <w:spacing w:before="0" w:after="0" w:line="240" w:lineRule="auto"/>
            </w:pPr>
          </w:p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Bosch has closed its Changchun manufacturing facility on short notice, creating supply chain uncertainty in the region.</w:t>
            </w: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atLeas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Forvia has significantly reduced an already-confirmed forecast with unclear reasoning; a purchasing visit is scheduled for June 2, 2026 to clarify the reduction.</w:t>
            </w:r>
          </w:p>
          <w:p>
            <w:pPr>
              <w:spacing w:before="0" w:after="0" w:line="240" w:lineRule="auto"/>
            </w:pPr>
          </w:p>
          <w:p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Bosch's Changchun plant closure has left volume transfer to the Changsha facility unconfirmed, creating operational risk.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(no entries)</w:t>
            </w: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  <w:spacing w:before="0" w:after="0" w:line="1" w:lineRule="exact"/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