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and Compliance Documentation</w:t>
      </w:r>
    </w:p>
    <w:p>
      <w:pPr>
        <w:pStyle w:val="Heading1"/>
      </w:pPr>
      <w:r>
        <w:t>Overview</w:t>
      </w:r>
    </w:p>
    <w:p>
      <w:r>
        <w:t>This document outlines the security architecture and compliance considerations for the integration middleware. The design follows banking-grade security practices suitable for regulated environments.</w:t>
      </w:r>
    </w:p>
    <w:p>
      <w:pPr>
        <w:pStyle w:val="Heading1"/>
      </w:pPr>
      <w:r>
        <w:t>Authentication Architecture</w:t>
      </w:r>
    </w:p>
    <w:p>
      <w:pPr>
        <w:pStyle w:val="Heading2"/>
      </w:pPr>
      <w:r>
        <w:t>Managed Identity</w:t>
      </w:r>
    </w:p>
    <w:p>
      <w:r>
        <w:t>The solution uses Azure Managed Identity for authentication to eliminate secrets management. Benefits include: no secrets to manage, automatic credential rotation, full audit trail, and least privilege access scoped to specific resources.</w:t>
      </w:r>
    </w:p>
    <w:p>
      <w:pPr>
        <w:pStyle w:val="Heading2"/>
      </w:pPr>
      <w:r>
        <w:t>Identity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Identity Type</w:t>
            </w:r>
          </w:p>
        </w:tc>
        <w:tc>
          <w:tcPr>
            <w:tcW w:type="dxa" w:w="2880"/>
          </w:tcPr>
          <w:p>
            <w:r>
              <w:t>Access To</w:t>
            </w:r>
          </w:p>
        </w:tc>
      </w:tr>
      <w:tr>
        <w:tc>
          <w:tcPr>
            <w:tcW w:type="dxa" w:w="2880"/>
          </w:tcPr>
          <w:p>
            <w:r>
              <w:t>Azure Functions</w:t>
            </w:r>
          </w:p>
        </w:tc>
        <w:tc>
          <w:tcPr>
            <w:tcW w:type="dxa" w:w="2880"/>
          </w:tcPr>
          <w:p>
            <w:r>
              <w:t>System-Assigned</w:t>
            </w:r>
          </w:p>
        </w:tc>
        <w:tc>
          <w:tcPr>
            <w:tcW w:type="dxa" w:w="2880"/>
          </w:tcPr>
          <w:p>
            <w:r>
              <w:t>Dataverse, Service Bus, Key Vault</w:t>
            </w:r>
          </w:p>
        </w:tc>
      </w:tr>
      <w:tr>
        <w:tc>
          <w:tcPr>
            <w:tcW w:type="dxa" w:w="2880"/>
          </w:tcPr>
          <w:p>
            <w:r>
              <w:t>Service Bus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Receives from Functions</w:t>
            </w:r>
          </w:p>
        </w:tc>
      </w:tr>
      <w:tr>
        <w:tc>
          <w:tcPr>
            <w:tcW w:type="dxa" w:w="2880"/>
          </w:tcPr>
          <w:p>
            <w:r>
              <w:t>Key Vault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Accessed by Functions</w:t>
            </w:r>
          </w:p>
        </w:tc>
      </w:tr>
    </w:tbl>
    <w:p>
      <w:pPr>
        <w:pStyle w:val="Heading1"/>
      </w:pPr>
      <w:r>
        <w:t>Data Protection</w:t>
      </w:r>
    </w:p>
    <w:p>
      <w:pPr>
        <w:pStyle w:val="Heading2"/>
      </w:pPr>
      <w:r>
        <w:t>Encryption in Transit</w:t>
      </w:r>
    </w:p>
    <w:p>
      <w:r>
        <w:t>All connections use HTTPS/AMQPS with TLS 1.2 minimum.</w:t>
      </w:r>
    </w:p>
    <w:p>
      <w:pPr>
        <w:pStyle w:val="Heading2"/>
      </w:pPr>
      <w:r>
        <w:t>Encryption at Rest</w:t>
      </w:r>
    </w:p>
    <w:p>
      <w:r>
        <w:t>All Azure services use Azure Storage Service Encryption (SSE).</w:t>
      </w:r>
    </w:p>
    <w:p>
      <w:pPr>
        <w:pStyle w:val="Heading2"/>
      </w:pPr>
      <w:r>
        <w:t>PII Handling</w:t>
      </w:r>
    </w:p>
    <w:p>
      <w:r>
        <w:t>The Account entity contains PII fields (Email, Phone, Address). Production would implement field-level encryption and log masking.</w:t>
      </w:r>
    </w:p>
    <w:p>
      <w:pPr>
        <w:pStyle w:val="Heading1"/>
      </w:pPr>
      <w:r>
        <w:t>Key Vault Integration</w:t>
      </w:r>
    </w:p>
    <w:p>
      <w:r>
        <w:t>Secrets stored in Key Vault:</w:t>
      </w:r>
    </w:p>
    <w:p>
      <w:pPr>
        <w:pStyle w:val="ListBullet"/>
      </w:pPr>
      <w:r>
        <w:t>ExternalApiKey: External system authentication (90-day rotation)</w:t>
      </w:r>
    </w:p>
    <w:p>
      <w:pPr>
        <w:pStyle w:val="ListBullet"/>
      </w:pPr>
      <w:r>
        <w:t>ServiceBusConnection: Fallback connection string (1-year rotation)</w:t>
      </w:r>
    </w:p>
    <w:p>
      <w:pPr>
        <w:pStyle w:val="Heading1"/>
      </w:pPr>
      <w:r>
        <w:t>Audit and Logging</w:t>
      </w:r>
    </w:p>
    <w:p>
      <w:r>
        <w:t>All operations include CorrelationId for distributed tracing.</w:t>
      </w:r>
    </w:p>
    <w:p>
      <w:pPr>
        <w:pStyle w:val="Heading2"/>
      </w:pPr>
      <w:r>
        <w:t>What We Log</w:t>
      </w:r>
    </w:p>
    <w:p>
      <w:pPr>
        <w:pStyle w:val="ListBullet"/>
      </w:pPr>
      <w:r>
        <w:t>Always: CorrelationId, Timestamp, Operation type, Success/failure</w:t>
      </w:r>
    </w:p>
    <w:p>
      <w:pPr>
        <w:pStyle w:val="ListBullet"/>
      </w:pPr>
      <w:r>
        <w:t>With Caution: Account IDs, User identifiers</w:t>
      </w:r>
    </w:p>
    <w:p>
      <w:pPr>
        <w:pStyle w:val="ListBullet"/>
      </w:pPr>
      <w:r>
        <w:t>Never: PII in full, Authentication tokens, Secrets</w:t>
      </w:r>
    </w:p>
    <w:p>
      <w:pPr>
        <w:pStyle w:val="Heading1"/>
      </w:pPr>
      <w:r>
        <w:t>Compliance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Regulation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GDPR</w:t>
            </w:r>
          </w:p>
        </w:tc>
        <w:tc>
          <w:tcPr>
            <w:tcW w:type="dxa" w:w="4320"/>
          </w:tcPr>
          <w:p>
            <w:r>
              <w:t>Data encryption, retention policies</w:t>
            </w:r>
          </w:p>
        </w:tc>
      </w:tr>
      <w:tr>
        <w:tc>
          <w:tcPr>
            <w:tcW w:type="dxa" w:w="4320"/>
          </w:tcPr>
          <w:p>
            <w:r>
              <w:t>SOC 2</w:t>
            </w:r>
          </w:p>
        </w:tc>
        <w:tc>
          <w:tcPr>
            <w:tcW w:type="dxa" w:w="4320"/>
          </w:tcPr>
          <w:p>
            <w:r>
              <w:t>Audit logging, access controls</w:t>
            </w:r>
          </w:p>
        </w:tc>
      </w:tr>
      <w:tr>
        <w:tc>
          <w:tcPr>
            <w:tcW w:type="dxa" w:w="4320"/>
          </w:tcPr>
          <w:p>
            <w:r>
              <w:t>Basel III</w:t>
            </w:r>
          </w:p>
        </w:tc>
        <w:tc>
          <w:tcPr>
            <w:tcW w:type="dxa" w:w="4320"/>
          </w:tcPr>
          <w:p>
            <w:r>
              <w:t>Error handling, monitoring</w:t>
            </w:r>
          </w:p>
        </w:tc>
      </w:tr>
    </w:tbl>
    <w:p>
      <w:pPr>
        <w:pStyle w:val="Heading1"/>
      </w:pPr>
      <w:r>
        <w:t>Threat Model Summary</w:t>
      </w:r>
    </w:p>
    <w:p>
      <w:pPr>
        <w:pStyle w:val="ListBullet"/>
      </w:pPr>
      <w:r>
        <w:t>Unauthorized API access: Mitigated by Azure AD + Function Keys</w:t>
      </w:r>
    </w:p>
    <w:p>
      <w:pPr>
        <w:pStyle w:val="ListBullet"/>
      </w:pPr>
      <w:r>
        <w:t>Message tampering: Mitigated by Service Bus authentication</w:t>
      </w:r>
    </w:p>
    <w:p>
      <w:pPr>
        <w:pStyle w:val="ListBullet"/>
      </w:pPr>
      <w:r>
        <w:t>Secret exposure: Mitigated by Key Vault + Managed Identity</w:t>
      </w:r>
    </w:p>
    <w:p>
      <w:pPr>
        <w:pStyle w:val="ListBullet"/>
      </w:pPr>
      <w:r>
        <w:t>PII leakage in logs: Not in MVP, would add log masking</w:t>
      </w:r>
    </w:p>
    <w:p>
      <w:pPr>
        <w:pStyle w:val="Heading1"/>
      </w:pPr>
      <w:r>
        <w:t>Not Implemented (MVP)</w:t>
      </w:r>
    </w:p>
    <w:p>
      <w:pPr>
        <w:pStyle w:val="ListBullet"/>
      </w:pPr>
      <w:r>
        <w:t>VNET Integration: Requires infrastructure setup</w:t>
      </w:r>
    </w:p>
    <w:p>
      <w:pPr>
        <w:pStyle w:val="ListBullet"/>
      </w:pPr>
      <w:r>
        <w:t>Private Endpoints: Requires infrastructure setup</w:t>
      </w:r>
    </w:p>
    <w:p>
      <w:pPr>
        <w:pStyle w:val="ListBullet"/>
      </w:pPr>
      <w:r>
        <w:t>PII Encryption: Would need Key Vault + custom code</w:t>
      </w:r>
    </w:p>
    <w:p>
      <w:pPr>
        <w:pStyle w:val="ListBullet"/>
      </w:pPr>
      <w:r>
        <w:t>Log Masking: Would need custom telemetry processor</w:t>
      </w:r>
    </w:p>
    <w:p>
      <w:pPr>
        <w:pStyle w:val="ListBullet"/>
      </w:pPr>
      <w:r>
        <w:t>Rate Limiting: Would need API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