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r>
        <w:rPr>
          <w:sz w:val="24"/>
          <w:szCs w:val="24"/>
          <w:color w:val="auto"/>
        </w:rPr>
        <w:drawing>
          <wp:anchor simplePos="0" relativeHeight="251657728" behindDoc="1" locked="0" layoutInCell="0" allowOverlap="1">
            <wp:simplePos x="0" y="0"/>
            <wp:positionH relativeFrom="page">
              <wp:posOffset>818515</wp:posOffset>
            </wp:positionH>
            <wp:positionV relativeFrom="page">
              <wp:posOffset>883285</wp:posOffset>
            </wp:positionV>
            <wp:extent cx="1948180" cy="7950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extLst>
                    </a:blip>
                    <a:srcRect/>
                    <a:stretch>
                      <a:fillRect/>
                    </a:stretch>
                  </pic:blipFill>
                  <pic:spPr bwMode="auto">
                    <a:xfrm>
                      <a:off x="0" y="0"/>
                      <a:ext cx="1948180" cy="795020"/>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49" w:lineRule="exact"/>
        <w:rPr>
          <w:sz w:val="24"/>
          <w:szCs w:val="24"/>
          <w:color w:val="auto"/>
        </w:rPr>
      </w:pPr>
    </w:p>
    <w:p>
      <w:pPr>
        <w:jc w:val="center"/>
        <w:ind w:right="-1"/>
        <w:spacing w:after="0"/>
        <w:rPr>
          <w:sz w:val="20"/>
          <w:szCs w:val="20"/>
          <w:color w:val="auto"/>
        </w:rPr>
      </w:pPr>
      <w:r>
        <w:rPr>
          <w:rFonts w:ascii="Calibri" w:cs="Calibri" w:eastAsia="Calibri" w:hAnsi="Calibri"/>
          <w:sz w:val="24"/>
          <w:szCs w:val="24"/>
          <w:b w:val="1"/>
          <w:bCs w:val="1"/>
          <w:u w:val="single" w:color="auto"/>
          <w:color w:val="auto"/>
        </w:rPr>
        <w:t>Termes de Référence</w:t>
      </w:r>
    </w:p>
    <w:p>
      <w:pPr>
        <w:spacing w:after="0" w:line="281" w:lineRule="exact"/>
        <w:rPr>
          <w:sz w:val="24"/>
          <w:szCs w:val="24"/>
          <w:color w:val="auto"/>
        </w:rPr>
      </w:pPr>
    </w:p>
    <w:p>
      <w:pPr>
        <w:jc w:val="center"/>
        <w:ind w:right="-1"/>
        <w:spacing w:after="0"/>
        <w:rPr>
          <w:sz w:val="20"/>
          <w:szCs w:val="20"/>
          <w:color w:val="auto"/>
        </w:rPr>
      </w:pPr>
      <w:r>
        <w:rPr>
          <w:rFonts w:ascii="Calibri" w:cs="Calibri" w:eastAsia="Calibri" w:hAnsi="Calibri"/>
          <w:sz w:val="28"/>
          <w:szCs w:val="28"/>
          <w:b w:val="1"/>
          <w:bCs w:val="1"/>
          <w:color w:val="auto"/>
        </w:rPr>
        <w:t>Étude relative aux médias numériques et aux radios de proximité au Burkina Faso</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-12065</wp:posOffset>
            </wp:positionH>
            <wp:positionV relativeFrom="paragraph">
              <wp:posOffset>161290</wp:posOffset>
            </wp:positionV>
            <wp:extent cx="6240145" cy="17443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extLst>
                    </a:blip>
                    <a:srcRect/>
                    <a:stretch>
                      <a:fillRect/>
                    </a:stretch>
                  </pic:blipFill>
                  <pic:spPr bwMode="auto">
                    <a:xfrm>
                      <a:off x="0" y="0"/>
                      <a:ext cx="6240145" cy="1744345"/>
                    </a:xfrm>
                    <a:prstGeom prst="rect">
                      <a:avLst/>
                    </a:prstGeom>
                    <a:noFill/>
                  </pic:spPr>
                </pic:pic>
              </a:graphicData>
            </a:graphic>
          </wp:anchor>
        </w:drawing>
      </w:r>
    </w:p>
    <w:p>
      <w:pPr>
        <w:spacing w:after="0" w:line="369" w:lineRule="exact"/>
        <w:rPr>
          <w:sz w:val="24"/>
          <w:szCs w:val="24"/>
          <w:color w:val="auto"/>
        </w:rPr>
      </w:pPr>
    </w:p>
    <w:p>
      <w:pPr>
        <w:jc w:val="both"/>
        <w:ind w:left="122" w:right="40"/>
        <w:spacing w:after="0" w:line="283" w:lineRule="auto"/>
        <w:rPr>
          <w:sz w:val="20"/>
          <w:szCs w:val="20"/>
          <w:color w:val="auto"/>
        </w:rPr>
      </w:pPr>
      <w:r>
        <w:rPr>
          <w:rFonts w:ascii="Calibri" w:cs="Calibri" w:eastAsia="Calibri" w:hAnsi="Calibri"/>
          <w:sz w:val="20"/>
          <w:szCs w:val="20"/>
          <w:i w:val="1"/>
          <w:iCs w:val="1"/>
          <w:color w:val="auto"/>
        </w:rPr>
        <w:t>Dans le cadre de la mise en œuvre du projet « MédiaSahel », CFI Agence française de développement médias recherche un·e expert·e ou un binôme d’expert·e·s pour la réalisation d’une étude relative aux médias numériques et aux radios de proximité au Burkina Faso.</w:t>
      </w:r>
    </w:p>
    <w:p>
      <w:pPr>
        <w:spacing w:after="0" w:line="101" w:lineRule="exact"/>
        <w:rPr>
          <w:sz w:val="24"/>
          <w:szCs w:val="24"/>
          <w:color w:val="auto"/>
        </w:rPr>
      </w:pPr>
    </w:p>
    <w:p>
      <w:pPr>
        <w:ind w:left="122"/>
        <w:spacing w:after="0"/>
        <w:rPr>
          <w:sz w:val="20"/>
          <w:szCs w:val="20"/>
          <w:color w:val="auto"/>
        </w:rPr>
      </w:pPr>
      <w:r>
        <w:rPr>
          <w:rFonts w:ascii="Calibri" w:cs="Calibri" w:eastAsia="Calibri" w:hAnsi="Calibri"/>
          <w:sz w:val="20"/>
          <w:szCs w:val="20"/>
          <w:i w:val="1"/>
          <w:iCs w:val="1"/>
          <w:color w:val="auto"/>
        </w:rPr>
        <w:t>Les prestataires intéressé·e·s peuvent soumettre une proposition seule (à titre individuel) ou groupée (à deux).</w:t>
      </w:r>
    </w:p>
    <w:p>
      <w:pPr>
        <w:spacing w:after="0" w:line="154" w:lineRule="exact"/>
        <w:rPr>
          <w:sz w:val="24"/>
          <w:szCs w:val="24"/>
          <w:color w:val="auto"/>
        </w:rPr>
      </w:pPr>
    </w:p>
    <w:p>
      <w:pPr>
        <w:ind w:left="122"/>
        <w:spacing w:after="0"/>
        <w:rPr>
          <w:sz w:val="20"/>
          <w:szCs w:val="20"/>
          <w:color w:val="auto"/>
        </w:rPr>
      </w:pPr>
      <w:r>
        <w:rPr>
          <w:rFonts w:ascii="Calibri" w:cs="Calibri" w:eastAsia="Calibri" w:hAnsi="Calibri"/>
          <w:sz w:val="20"/>
          <w:szCs w:val="20"/>
          <w:i w:val="1"/>
          <w:iCs w:val="1"/>
          <w:color w:val="auto"/>
        </w:rPr>
        <w:t>Date limite de remise des offres : 26/03/2023 à 23h59 (heure de Paris)</w:t>
      </w:r>
    </w:p>
    <w:p>
      <w:pPr>
        <w:spacing w:after="0" w:line="159" w:lineRule="exact"/>
        <w:rPr>
          <w:sz w:val="24"/>
          <w:szCs w:val="24"/>
          <w:color w:val="auto"/>
        </w:rPr>
      </w:pPr>
    </w:p>
    <w:p>
      <w:pPr>
        <w:ind w:left="122"/>
        <w:spacing w:after="0"/>
        <w:rPr>
          <w:sz w:val="20"/>
          <w:szCs w:val="20"/>
          <w:color w:val="auto"/>
        </w:rPr>
      </w:pPr>
      <w:r>
        <w:rPr>
          <w:rFonts w:ascii="Calibri" w:cs="Calibri" w:eastAsia="Calibri" w:hAnsi="Calibri"/>
          <w:sz w:val="20"/>
          <w:szCs w:val="20"/>
          <w:i w:val="1"/>
          <w:iCs w:val="1"/>
          <w:color w:val="auto"/>
        </w:rPr>
        <w:t>Début et fin de prestation souhaités : 5 avril 2023 – 26 mai 2023</w:t>
      </w:r>
    </w:p>
    <w:p>
      <w:pPr>
        <w:spacing w:after="0" w:line="154" w:lineRule="exact"/>
        <w:rPr>
          <w:sz w:val="24"/>
          <w:szCs w:val="24"/>
          <w:color w:val="auto"/>
        </w:rPr>
      </w:pPr>
    </w:p>
    <w:p>
      <w:pPr>
        <w:ind w:left="122"/>
        <w:spacing w:after="0"/>
        <w:rPr>
          <w:sz w:val="20"/>
          <w:szCs w:val="20"/>
          <w:color w:val="auto"/>
        </w:rPr>
      </w:pPr>
      <w:r>
        <w:rPr>
          <w:rFonts w:ascii="Calibri" w:cs="Calibri" w:eastAsia="Calibri" w:hAnsi="Calibri"/>
          <w:sz w:val="20"/>
          <w:szCs w:val="20"/>
          <w:i w:val="1"/>
          <w:iCs w:val="1"/>
          <w:color w:val="auto"/>
        </w:rPr>
        <w:t>Durée maximale de la prestation : 14 jours ouvrés sur une durée de 7 semaines maximum</w:t>
      </w:r>
    </w:p>
    <w:p>
      <w:pPr>
        <w:spacing w:after="0" w:line="200" w:lineRule="exact"/>
        <w:rPr>
          <w:sz w:val="24"/>
          <w:szCs w:val="24"/>
          <w:color w:val="auto"/>
        </w:rPr>
      </w:pPr>
    </w:p>
    <w:p>
      <w:pPr>
        <w:spacing w:after="0" w:line="205" w:lineRule="exact"/>
        <w:rPr>
          <w:sz w:val="24"/>
          <w:szCs w:val="24"/>
          <w:color w:val="auto"/>
        </w:rPr>
      </w:pPr>
    </w:p>
    <w:p>
      <w:pPr>
        <w:ind w:left="2"/>
        <w:spacing w:after="0"/>
        <w:rPr>
          <w:sz w:val="20"/>
          <w:szCs w:val="20"/>
          <w:color w:val="auto"/>
        </w:rPr>
      </w:pPr>
      <w:r>
        <w:rPr>
          <w:rFonts w:ascii="Calibri" w:cs="Calibri" w:eastAsia="Calibri" w:hAnsi="Calibri"/>
          <w:sz w:val="24"/>
          <w:szCs w:val="24"/>
          <w:b w:val="1"/>
          <w:bCs w:val="1"/>
          <w:color w:val="auto"/>
        </w:rPr>
        <w:t>1.  PRÉSENTATION DE CFI</w:t>
      </w:r>
    </w:p>
    <w:p>
      <w:pPr>
        <w:spacing w:after="0" w:line="167" w:lineRule="exact"/>
        <w:rPr>
          <w:sz w:val="24"/>
          <w:szCs w:val="24"/>
          <w:color w:val="auto"/>
        </w:rPr>
      </w:pPr>
    </w:p>
    <w:p>
      <w:pPr>
        <w:jc w:val="both"/>
        <w:ind w:left="2"/>
        <w:spacing w:after="0" w:line="279" w:lineRule="auto"/>
        <w:rPr>
          <w:sz w:val="20"/>
          <w:szCs w:val="20"/>
          <w:color w:val="auto"/>
        </w:rPr>
      </w:pPr>
      <w:r>
        <w:rPr>
          <w:rFonts w:ascii="Calibri" w:cs="Calibri" w:eastAsia="Calibri" w:hAnsi="Calibri"/>
          <w:sz w:val="20"/>
          <w:szCs w:val="20"/>
          <w:color w:val="auto"/>
        </w:rPr>
        <w:t xml:space="preserve">CFI, l’agence française de développement médias, agit pour favoriser le développement des médias partout dans le monde et en particulier en Afrique subsaharienne, dans le monde arabe, et le Sud-Est asiatique. L’agence s’engage aux côtés des médias pour favoriser le dialogue entre les autorités locales et les citoyennes et citoyens, afin de permettre aux populations d’être les mieux informées possible. Au cœur de son action se trouvent la lutte contre la désinformation, la promotion de l’égalité entre les femmes et les hommes, la protection de l’environnement et la promotion de la démocratie et de l’engagement citoyen. CFI est un opérateur du </w:t>
      </w:r>
      <w:r>
        <w:rPr>
          <w:rFonts w:ascii="Calibri" w:cs="Calibri" w:eastAsia="Calibri" w:hAnsi="Calibri"/>
          <w:sz w:val="20"/>
          <w:szCs w:val="20"/>
          <w:i w:val="1"/>
          <w:iCs w:val="1"/>
          <w:color w:val="auto"/>
        </w:rPr>
        <w:t>Ministère de l’Europe et des Affaires étrangères</w:t>
      </w:r>
      <w:r>
        <w:rPr>
          <w:rFonts w:ascii="Calibri" w:cs="Calibri" w:eastAsia="Calibri" w:hAnsi="Calibri"/>
          <w:sz w:val="20"/>
          <w:szCs w:val="20"/>
          <w:color w:val="auto"/>
        </w:rPr>
        <w:t xml:space="preserve"> et une filiale du Groupe </w:t>
      </w:r>
      <w:r>
        <w:rPr>
          <w:rFonts w:ascii="Calibri" w:cs="Calibri" w:eastAsia="Calibri" w:hAnsi="Calibri"/>
          <w:sz w:val="20"/>
          <w:szCs w:val="20"/>
          <w:i w:val="1"/>
          <w:iCs w:val="1"/>
          <w:color w:val="auto"/>
        </w:rPr>
        <w:t>France Médias Monde</w:t>
      </w:r>
      <w:r>
        <w:rPr>
          <w:rFonts w:ascii="Calibri" w:cs="Calibri" w:eastAsia="Calibri" w:hAnsi="Calibri"/>
          <w:sz w:val="20"/>
          <w:szCs w:val="20"/>
          <w:color w:val="auto"/>
        </w:rPr>
        <w:t>.</w:t>
      </w:r>
    </w:p>
    <w:p>
      <w:pPr>
        <w:spacing w:after="0" w:line="212" w:lineRule="exact"/>
        <w:rPr>
          <w:sz w:val="24"/>
          <w:szCs w:val="24"/>
          <w:color w:val="auto"/>
        </w:rPr>
      </w:pPr>
    </w:p>
    <w:p>
      <w:pPr>
        <w:ind w:left="2"/>
        <w:spacing w:after="0"/>
        <w:rPr>
          <w:sz w:val="20"/>
          <w:szCs w:val="20"/>
          <w:color w:val="auto"/>
        </w:rPr>
      </w:pPr>
      <w:r>
        <w:rPr>
          <w:rFonts w:ascii="Calibri" w:cs="Calibri" w:eastAsia="Calibri" w:hAnsi="Calibri"/>
          <w:sz w:val="24"/>
          <w:szCs w:val="24"/>
          <w:b w:val="1"/>
          <w:bCs w:val="1"/>
          <w:color w:val="auto"/>
        </w:rPr>
        <w:t>2.  CONTEXTE ET CADRE DE LA PRESTATION</w:t>
      </w:r>
    </w:p>
    <w:p>
      <w:pPr>
        <w:spacing w:after="0" w:line="167" w:lineRule="exact"/>
        <w:rPr>
          <w:sz w:val="24"/>
          <w:szCs w:val="24"/>
          <w:color w:val="auto"/>
        </w:rPr>
      </w:pPr>
    </w:p>
    <w:p>
      <w:pPr>
        <w:jc w:val="both"/>
        <w:ind w:left="2"/>
        <w:spacing w:after="0" w:line="291" w:lineRule="auto"/>
        <w:rPr>
          <w:sz w:val="20"/>
          <w:szCs w:val="20"/>
          <w:color w:val="auto"/>
        </w:rPr>
      </w:pPr>
      <w:r>
        <w:rPr>
          <w:rFonts w:ascii="Calibri" w:cs="Calibri" w:eastAsia="Calibri" w:hAnsi="Calibri"/>
          <w:sz w:val="19"/>
          <w:szCs w:val="19"/>
          <w:color w:val="auto"/>
        </w:rPr>
        <w:t>Depuis 2019, CFI met œuvre le projet « MédiaSahel », cofinancé par l’Agence Française de Développement (AFD), qui se fonde sur le constat que la crise que traverse la bande sahélo-saharienne ne peut être résolue sans une meilleure inclusion socio-politique des jeunes. Dans ce domaine, les médias ont un rôle important à jouer en proposant à cette jeunesse des espaces d’expression de leurs perspectives, frustrations et ambitions, et en facilitant le dialogue entre les citoyen·ne·s, les représentant·e·s de la société civile et les autorités. La finalité du projet « MédiaSahel » est de contribuer,</w:t>
      </w:r>
    </w:p>
    <w:p>
      <w:pPr>
        <w:jc w:val="both"/>
        <w:ind w:left="2" w:hanging="2"/>
        <w:spacing w:after="0" w:line="287" w:lineRule="auto"/>
        <w:tabs>
          <w:tab w:leader="none" w:pos="141" w:val="left"/>
        </w:tabs>
        <w:numPr>
          <w:ilvl w:val="0"/>
          <w:numId w:val="1"/>
        </w:numPr>
        <w:rPr>
          <w:rFonts w:ascii="Calibri" w:cs="Calibri" w:eastAsia="Calibri" w:hAnsi="Calibri"/>
          <w:sz w:val="20"/>
          <w:szCs w:val="20"/>
          <w:color w:val="auto"/>
        </w:rPr>
      </w:pPr>
      <w:r>
        <w:rPr>
          <w:rFonts w:ascii="Calibri" w:cs="Calibri" w:eastAsia="Calibri" w:hAnsi="Calibri"/>
          <w:sz w:val="20"/>
          <w:szCs w:val="20"/>
          <w:color w:val="auto"/>
        </w:rPr>
        <w:t>travers les médias, à l’inclusion de la jeunesse, à la stabilisation et au développement démocratique des pays du Sahel. Des activités de renforcement de capacités et d’appui à la production sont ainsi prévues dans trois pays de la zone sahélienne concernés par le projet : le Burkina Faso, le Mali et le Niger.</w:t>
      </w:r>
    </w:p>
    <w:p>
      <w:pPr>
        <w:spacing w:after="0" w:line="82" w:lineRule="exact"/>
        <w:rPr>
          <w:sz w:val="24"/>
          <w:szCs w:val="24"/>
          <w:color w:val="auto"/>
        </w:rPr>
      </w:pPr>
    </w:p>
    <w:p>
      <w:pPr>
        <w:jc w:val="both"/>
        <w:ind w:left="2"/>
        <w:spacing w:after="0" w:line="292" w:lineRule="auto"/>
        <w:rPr>
          <w:sz w:val="20"/>
          <w:szCs w:val="20"/>
          <w:color w:val="auto"/>
        </w:rPr>
      </w:pPr>
      <w:r>
        <w:rPr>
          <w:rFonts w:ascii="Calibri" w:cs="Calibri" w:eastAsia="Calibri" w:hAnsi="Calibri"/>
          <w:sz w:val="20"/>
          <w:szCs w:val="20"/>
          <w:color w:val="auto"/>
        </w:rPr>
        <w:t xml:space="preserve">Dans le cadre du projet « MédiaSahel », CFI souhaite mener une </w:t>
      </w:r>
      <w:r>
        <w:rPr>
          <w:rFonts w:ascii="Calibri" w:cs="Calibri" w:eastAsia="Calibri" w:hAnsi="Calibri"/>
          <w:sz w:val="20"/>
          <w:szCs w:val="20"/>
          <w:b w:val="1"/>
          <w:bCs w:val="1"/>
          <w:color w:val="auto"/>
        </w:rPr>
        <w:t>étude afin (i) de dresser un état des lieux et d’analyser</w:t>
      </w:r>
      <w:r>
        <w:rPr>
          <w:rFonts w:ascii="Calibri" w:cs="Calibri" w:eastAsia="Calibri" w:hAnsi="Calibri"/>
          <w:sz w:val="20"/>
          <w:szCs w:val="20"/>
          <w:color w:val="auto"/>
        </w:rPr>
        <w:t xml:space="preserve"> </w:t>
      </w:r>
      <w:r>
        <w:rPr>
          <w:rFonts w:ascii="Calibri" w:cs="Calibri" w:eastAsia="Calibri" w:hAnsi="Calibri"/>
          <w:sz w:val="20"/>
          <w:szCs w:val="20"/>
          <w:b w:val="1"/>
          <w:bCs w:val="1"/>
          <w:color w:val="auto"/>
        </w:rPr>
        <w:t>les besoins des médias numériques au Burkina Faso, et (ii) d’étudier les opportunités en lien avec le numérique pour les radios de proximité.</w:t>
      </w:r>
    </w:p>
    <w:p>
      <w:pPr>
        <w:spacing w:after="0" w:line="192" w:lineRule="exact"/>
        <w:rPr>
          <w:sz w:val="24"/>
          <w:szCs w:val="24"/>
          <w:color w:val="auto"/>
        </w:rPr>
      </w:pPr>
    </w:p>
    <w:p>
      <w:pPr>
        <w:ind w:left="2"/>
        <w:spacing w:after="0"/>
        <w:rPr>
          <w:sz w:val="20"/>
          <w:szCs w:val="20"/>
          <w:color w:val="auto"/>
        </w:rPr>
      </w:pPr>
      <w:r>
        <w:rPr>
          <w:rFonts w:ascii="Calibri" w:cs="Calibri" w:eastAsia="Calibri" w:hAnsi="Calibri"/>
          <w:sz w:val="24"/>
          <w:szCs w:val="24"/>
          <w:b w:val="1"/>
          <w:bCs w:val="1"/>
          <w:color w:val="auto"/>
        </w:rPr>
        <w:t>3.  LIEU(X) ET DURÉE DE LA PRESTATION</w:t>
      </w:r>
    </w:p>
    <w:p>
      <w:pPr>
        <w:spacing w:after="0" w:line="165" w:lineRule="exact"/>
        <w:rPr>
          <w:sz w:val="24"/>
          <w:szCs w:val="24"/>
          <w:color w:val="auto"/>
        </w:rPr>
      </w:pPr>
    </w:p>
    <w:p>
      <w:pPr>
        <w:jc w:val="both"/>
        <w:ind w:left="2"/>
        <w:spacing w:after="0" w:line="340" w:lineRule="auto"/>
        <w:rPr>
          <w:sz w:val="20"/>
          <w:szCs w:val="20"/>
          <w:color w:val="auto"/>
        </w:rPr>
      </w:pPr>
      <w:r>
        <w:rPr>
          <w:rFonts w:ascii="Calibri" w:cs="Calibri" w:eastAsia="Calibri" w:hAnsi="Calibri"/>
          <w:sz w:val="19"/>
          <w:szCs w:val="19"/>
          <w:color w:val="auto"/>
        </w:rPr>
        <w:t xml:space="preserve">L’étude sera réalisée au </w:t>
      </w:r>
      <w:r>
        <w:rPr>
          <w:rFonts w:ascii="Calibri" w:cs="Calibri" w:eastAsia="Calibri" w:hAnsi="Calibri"/>
          <w:sz w:val="19"/>
          <w:szCs w:val="19"/>
          <w:b w:val="1"/>
          <w:bCs w:val="1"/>
          <w:color w:val="auto"/>
        </w:rPr>
        <w:t>Burkina Faso</w:t>
      </w:r>
      <w:r>
        <w:rPr>
          <w:rFonts w:ascii="Calibri" w:cs="Calibri" w:eastAsia="Calibri" w:hAnsi="Calibri"/>
          <w:sz w:val="19"/>
          <w:szCs w:val="19"/>
          <w:color w:val="auto"/>
        </w:rPr>
        <w:t xml:space="preserve">, essentiellement à Ouagadougou. Plusieurs entretiens seront à réaliser en présentiel. Des déplacements dans des capitales régionales (si jugés pertinents) sont </w:t>
      </w:r>
      <w:r>
        <w:rPr>
          <w:rFonts w:ascii="Calibri" w:cs="Calibri" w:eastAsia="Calibri" w:hAnsi="Calibri"/>
          <w:sz w:val="19"/>
          <w:szCs w:val="19"/>
          <w:b w:val="1"/>
          <w:bCs w:val="1"/>
          <w:color w:val="auto"/>
        </w:rPr>
        <w:t>optionnels</w:t>
      </w:r>
      <w:r>
        <w:rPr>
          <w:rFonts w:ascii="Calibri" w:cs="Calibri" w:eastAsia="Calibri" w:hAnsi="Calibri"/>
          <w:sz w:val="19"/>
          <w:szCs w:val="19"/>
          <w:color w:val="auto"/>
        </w:rPr>
        <w:t xml:space="preserve"> et pourront être pris en</w:t>
      </w:r>
    </w:p>
    <w:p>
      <w:pPr>
        <w:sectPr>
          <w:pgSz w:w="12240" w:h="15840" w:orient="portrait"/>
          <w:cols w:equalWidth="0" w:num="1">
            <w:col w:w="9722"/>
          </w:cols>
          <w:pgMar w:left="1258" w:top="1440" w:right="1260" w:bottom="786" w:gutter="0" w:footer="0" w:header="0"/>
        </w:sectPr>
      </w:pPr>
    </w:p>
    <w:bookmarkStart w:id="1" w:name="page2"/>
    <w:bookmarkEnd w:id="1"/>
    <w:p>
      <w:pPr>
        <w:jc w:val="both"/>
        <w:ind w:left="2"/>
        <w:spacing w:after="0" w:line="285" w:lineRule="auto"/>
        <w:rPr>
          <w:sz w:val="20"/>
          <w:szCs w:val="20"/>
          <w:color w:val="auto"/>
        </w:rPr>
      </w:pPr>
      <w:r>
        <w:rPr>
          <w:rFonts w:ascii="Calibri" w:cs="Calibri" w:eastAsia="Calibri" w:hAnsi="Calibri"/>
          <w:sz w:val="20"/>
          <w:szCs w:val="20"/>
          <w:color w:val="auto"/>
        </w:rPr>
        <w:t xml:space="preserve">charge par CFI (justification dans l’offre technique, présentation et validation d’un devis spécifique). Des déplacements internationaux ne seront en aucun cas pris en charge par CFI. Un contrat de prestation sera conclu pour une période de validité de max. </w:t>
      </w:r>
      <w:r>
        <w:rPr>
          <w:rFonts w:ascii="Calibri" w:cs="Calibri" w:eastAsia="Calibri" w:hAnsi="Calibri"/>
          <w:sz w:val="20"/>
          <w:szCs w:val="20"/>
          <w:b w:val="1"/>
          <w:bCs w:val="1"/>
          <w:color w:val="auto"/>
        </w:rPr>
        <w:t>8 semaines</w:t>
      </w:r>
      <w:r>
        <w:rPr>
          <w:rFonts w:ascii="Calibri" w:cs="Calibri" w:eastAsia="Calibri" w:hAnsi="Calibri"/>
          <w:sz w:val="20"/>
          <w:szCs w:val="20"/>
          <w:color w:val="auto"/>
        </w:rPr>
        <w:t xml:space="preserve">, à compter de la date de notification, pour un nombre de jours de prestation n’excédant pas </w:t>
      </w:r>
      <w:r>
        <w:rPr>
          <w:rFonts w:ascii="Calibri" w:cs="Calibri" w:eastAsia="Calibri" w:hAnsi="Calibri"/>
          <w:sz w:val="20"/>
          <w:szCs w:val="20"/>
          <w:b w:val="1"/>
          <w:bCs w:val="1"/>
          <w:color w:val="auto"/>
        </w:rPr>
        <w:t>14 jours ouvrés</w:t>
      </w:r>
      <w:r>
        <w:rPr>
          <w:rFonts w:ascii="Calibri" w:cs="Calibri" w:eastAsia="Calibri" w:hAnsi="Calibri"/>
          <w:sz w:val="20"/>
          <w:szCs w:val="20"/>
          <w:color w:val="auto"/>
        </w:rPr>
        <w:t>.</w:t>
      </w:r>
    </w:p>
    <w:p>
      <w:pPr>
        <w:spacing w:after="0" w:line="199" w:lineRule="exact"/>
        <w:rPr>
          <w:sz w:val="20"/>
          <w:szCs w:val="20"/>
          <w:color w:val="auto"/>
        </w:rPr>
      </w:pPr>
    </w:p>
    <w:p>
      <w:pPr>
        <w:ind w:left="2"/>
        <w:spacing w:after="0"/>
        <w:rPr>
          <w:sz w:val="20"/>
          <w:szCs w:val="20"/>
          <w:color w:val="auto"/>
        </w:rPr>
      </w:pPr>
      <w:r>
        <w:rPr>
          <w:rFonts w:ascii="Calibri" w:cs="Calibri" w:eastAsia="Calibri" w:hAnsi="Calibri"/>
          <w:sz w:val="24"/>
          <w:szCs w:val="24"/>
          <w:b w:val="1"/>
          <w:bCs w:val="1"/>
          <w:color w:val="auto"/>
        </w:rPr>
        <w:t>4.  OBJET DE LA PRESTATION</w:t>
      </w:r>
    </w:p>
    <w:p>
      <w:pPr>
        <w:spacing w:after="0" w:line="165" w:lineRule="exact"/>
        <w:rPr>
          <w:sz w:val="20"/>
          <w:szCs w:val="20"/>
          <w:color w:val="auto"/>
        </w:rPr>
      </w:pPr>
    </w:p>
    <w:p>
      <w:pPr>
        <w:jc w:val="both"/>
        <w:ind w:left="2"/>
        <w:spacing w:after="0" w:line="288" w:lineRule="auto"/>
        <w:rPr>
          <w:sz w:val="20"/>
          <w:szCs w:val="20"/>
          <w:color w:val="auto"/>
        </w:rPr>
      </w:pPr>
      <w:r>
        <w:rPr>
          <w:rFonts w:ascii="Calibri" w:cs="Calibri" w:eastAsia="Calibri" w:hAnsi="Calibri"/>
          <w:sz w:val="20"/>
          <w:szCs w:val="20"/>
          <w:color w:val="auto"/>
        </w:rPr>
        <w:t xml:space="preserve">Le présent appel a pour objectif d’identifier un·e Prestataire chargé·e </w:t>
      </w:r>
      <w:r>
        <w:rPr>
          <w:rFonts w:ascii="Calibri" w:cs="Calibri" w:eastAsia="Calibri" w:hAnsi="Calibri"/>
          <w:sz w:val="20"/>
          <w:szCs w:val="20"/>
          <w:b w:val="1"/>
          <w:bCs w:val="1"/>
          <w:color w:val="auto"/>
        </w:rPr>
        <w:t>de mener une étude relative aux médias</w:t>
      </w:r>
      <w:r>
        <w:rPr>
          <w:rFonts w:ascii="Calibri" w:cs="Calibri" w:eastAsia="Calibri" w:hAnsi="Calibri"/>
          <w:sz w:val="20"/>
          <w:szCs w:val="20"/>
          <w:color w:val="auto"/>
        </w:rPr>
        <w:t xml:space="preserve"> </w:t>
      </w:r>
      <w:r>
        <w:rPr>
          <w:rFonts w:ascii="Calibri" w:cs="Calibri" w:eastAsia="Calibri" w:hAnsi="Calibri"/>
          <w:sz w:val="20"/>
          <w:szCs w:val="20"/>
          <w:b w:val="1"/>
          <w:bCs w:val="1"/>
          <w:color w:val="auto"/>
        </w:rPr>
        <w:t>numériques et aux radios de proximité au Burkina Faso</w:t>
      </w:r>
      <w:r>
        <w:rPr>
          <w:rFonts w:ascii="Calibri" w:cs="Calibri" w:eastAsia="Calibri" w:hAnsi="Calibri"/>
          <w:sz w:val="20"/>
          <w:szCs w:val="20"/>
          <w:color w:val="auto"/>
        </w:rPr>
        <w:t>, en lien étroit avec une consultante chargée des études et avec</w:t>
      </w:r>
      <w:r>
        <w:rPr>
          <w:rFonts w:ascii="Calibri" w:cs="Calibri" w:eastAsia="Calibri" w:hAnsi="Calibri"/>
          <w:sz w:val="20"/>
          <w:szCs w:val="20"/>
          <w:b w:val="1"/>
          <w:bCs w:val="1"/>
          <w:color w:val="auto"/>
        </w:rPr>
        <w:t xml:space="preserve"> </w:t>
      </w:r>
      <w:r>
        <w:rPr>
          <w:rFonts w:ascii="Calibri" w:cs="Calibri" w:eastAsia="Calibri" w:hAnsi="Calibri"/>
          <w:sz w:val="20"/>
          <w:szCs w:val="20"/>
          <w:color w:val="auto"/>
        </w:rPr>
        <w:t>la responsable développement et partenariats à la Direction Afrique de CFI.</w:t>
      </w:r>
    </w:p>
    <w:p>
      <w:pPr>
        <w:spacing w:after="0" w:line="165" w:lineRule="exact"/>
        <w:rPr>
          <w:sz w:val="20"/>
          <w:szCs w:val="20"/>
          <w:color w:val="auto"/>
        </w:rPr>
      </w:pPr>
    </w:p>
    <w:p>
      <w:pPr>
        <w:ind w:left="2"/>
        <w:spacing w:after="0"/>
        <w:rPr>
          <w:sz w:val="20"/>
          <w:szCs w:val="20"/>
          <w:color w:val="auto"/>
        </w:rPr>
      </w:pPr>
      <w:r>
        <w:rPr>
          <w:rFonts w:ascii="Calibri" w:cs="Calibri" w:eastAsia="Calibri" w:hAnsi="Calibri"/>
          <w:sz w:val="20"/>
          <w:szCs w:val="20"/>
          <w:color w:val="auto"/>
        </w:rPr>
        <w:t>L’étude portera sur deux axes thématiques :</w:t>
      </w:r>
    </w:p>
    <w:p>
      <w:pPr>
        <w:spacing w:after="0" w:line="32" w:lineRule="exact"/>
        <w:rPr>
          <w:sz w:val="20"/>
          <w:szCs w:val="20"/>
          <w:color w:val="auto"/>
        </w:rPr>
      </w:pPr>
    </w:p>
    <w:p>
      <w:pPr>
        <w:ind w:left="722" w:hanging="465"/>
        <w:spacing w:after="0" w:line="276" w:lineRule="auto"/>
        <w:tabs>
          <w:tab w:leader="none" w:pos="722" w:val="left"/>
        </w:tabs>
        <w:numPr>
          <w:ilvl w:val="0"/>
          <w:numId w:val="2"/>
        </w:numPr>
        <w:rPr>
          <w:rFonts w:ascii="Calibri" w:cs="Calibri" w:eastAsia="Calibri" w:hAnsi="Calibri"/>
          <w:sz w:val="20"/>
          <w:szCs w:val="20"/>
          <w:b w:val="1"/>
          <w:bCs w:val="1"/>
          <w:color w:val="auto"/>
        </w:rPr>
      </w:pPr>
      <w:r>
        <w:rPr>
          <w:rFonts w:ascii="Calibri" w:cs="Calibri" w:eastAsia="Calibri" w:hAnsi="Calibri"/>
          <w:sz w:val="20"/>
          <w:szCs w:val="20"/>
          <w:color w:val="auto"/>
        </w:rPr>
        <w:t xml:space="preserve">Un </w:t>
      </w:r>
      <w:r>
        <w:rPr>
          <w:rFonts w:ascii="Calibri" w:cs="Calibri" w:eastAsia="Calibri" w:hAnsi="Calibri"/>
          <w:sz w:val="20"/>
          <w:szCs w:val="20"/>
          <w:b w:val="1"/>
          <w:bCs w:val="1"/>
          <w:color w:val="auto"/>
        </w:rPr>
        <w:t>état des lieux et une analyse des besoins des principaux médias numériques</w:t>
      </w:r>
      <w:r>
        <w:rPr>
          <w:rFonts w:ascii="Calibri" w:cs="Calibri" w:eastAsia="Calibri" w:hAnsi="Calibri"/>
          <w:sz w:val="20"/>
          <w:szCs w:val="20"/>
          <w:color w:val="auto"/>
        </w:rPr>
        <w:t xml:space="preserve"> au Burkina Faso (</w:t>
      </w:r>
      <w:r>
        <w:rPr>
          <w:rFonts w:ascii="Calibri" w:cs="Calibri" w:eastAsia="Calibri" w:hAnsi="Calibri"/>
          <w:sz w:val="20"/>
          <w:szCs w:val="20"/>
          <w:i w:val="1"/>
          <w:iCs w:val="1"/>
          <w:color w:val="auto"/>
        </w:rPr>
        <w:t>pureplayers</w:t>
      </w:r>
      <w:r>
        <w:rPr>
          <w:rFonts w:ascii="Calibri" w:cs="Calibri" w:eastAsia="Calibri" w:hAnsi="Calibri"/>
          <w:sz w:val="20"/>
          <w:szCs w:val="20"/>
          <w:color w:val="auto"/>
        </w:rPr>
        <w:t xml:space="preserve"> et médias traditionnels ayant développé une forte présence numérique) ;</w:t>
      </w:r>
    </w:p>
    <w:p>
      <w:pPr>
        <w:ind w:left="722" w:hanging="514"/>
        <w:spacing w:after="0"/>
        <w:tabs>
          <w:tab w:leader="none" w:pos="722" w:val="left"/>
        </w:tabs>
        <w:numPr>
          <w:ilvl w:val="0"/>
          <w:numId w:val="2"/>
        </w:numPr>
        <w:rPr>
          <w:rFonts w:ascii="Calibri" w:cs="Calibri" w:eastAsia="Calibri" w:hAnsi="Calibri"/>
          <w:sz w:val="20"/>
          <w:szCs w:val="20"/>
          <w:b w:val="1"/>
          <w:bCs w:val="1"/>
          <w:color w:val="auto"/>
        </w:rPr>
      </w:pPr>
      <w:r>
        <w:rPr>
          <w:rFonts w:ascii="Calibri" w:cs="Calibri" w:eastAsia="Calibri" w:hAnsi="Calibri"/>
          <w:sz w:val="20"/>
          <w:szCs w:val="20"/>
          <w:color w:val="auto"/>
        </w:rPr>
        <w:t xml:space="preserve">Une </w:t>
      </w:r>
      <w:r>
        <w:rPr>
          <w:rFonts w:ascii="Calibri" w:cs="Calibri" w:eastAsia="Calibri" w:hAnsi="Calibri"/>
          <w:sz w:val="20"/>
          <w:szCs w:val="20"/>
          <w:b w:val="1"/>
          <w:bCs w:val="1"/>
          <w:color w:val="auto"/>
        </w:rPr>
        <w:t>analyse des opportunités en lien avec le numérique pour les radios de proximité</w:t>
      </w:r>
      <w:r>
        <w:rPr>
          <w:rFonts w:ascii="Calibri" w:cs="Calibri" w:eastAsia="Calibri" w:hAnsi="Calibri"/>
          <w:sz w:val="20"/>
          <w:szCs w:val="20"/>
          <w:color w:val="auto"/>
        </w:rPr>
        <w:t>.</w:t>
      </w:r>
    </w:p>
    <w:p>
      <w:pPr>
        <w:spacing w:after="0" w:line="319" w:lineRule="exact"/>
        <w:rPr>
          <w:sz w:val="20"/>
          <w:szCs w:val="20"/>
          <w:color w:val="auto"/>
        </w:rPr>
      </w:pPr>
    </w:p>
    <w:p>
      <w:pPr>
        <w:ind w:left="2"/>
        <w:spacing w:after="0"/>
        <w:rPr>
          <w:sz w:val="20"/>
          <w:szCs w:val="20"/>
          <w:color w:val="auto"/>
        </w:rPr>
      </w:pPr>
      <w:r>
        <w:rPr>
          <w:rFonts w:ascii="Calibri" w:cs="Calibri" w:eastAsia="Calibri" w:hAnsi="Calibri"/>
          <w:sz w:val="20"/>
          <w:szCs w:val="20"/>
          <w:color w:val="auto"/>
        </w:rPr>
        <w:t>Les principales questions qui devront guider la recherche sont :</w:t>
      </w:r>
    </w:p>
    <w:p>
      <w:pPr>
        <w:spacing w:after="0" w:line="37" w:lineRule="exact"/>
        <w:rPr>
          <w:sz w:val="20"/>
          <w:szCs w:val="20"/>
          <w:color w:val="auto"/>
        </w:rPr>
      </w:pPr>
    </w:p>
    <w:p>
      <w:pPr>
        <w:ind w:left="722" w:hanging="465"/>
        <w:spacing w:after="0"/>
        <w:tabs>
          <w:tab w:leader="none" w:pos="722" w:val="left"/>
        </w:tabs>
        <w:numPr>
          <w:ilvl w:val="0"/>
          <w:numId w:val="3"/>
        </w:numPr>
        <w:rPr>
          <w:rFonts w:ascii="Calibri" w:cs="Calibri" w:eastAsia="Calibri" w:hAnsi="Calibri"/>
          <w:sz w:val="20"/>
          <w:szCs w:val="20"/>
          <w:b w:val="1"/>
          <w:bCs w:val="1"/>
          <w:color w:val="auto"/>
        </w:rPr>
      </w:pPr>
      <w:r>
        <w:rPr>
          <w:rFonts w:ascii="Calibri" w:cs="Calibri" w:eastAsia="Calibri" w:hAnsi="Calibri"/>
          <w:sz w:val="20"/>
          <w:szCs w:val="20"/>
          <w:b w:val="1"/>
          <w:bCs w:val="1"/>
          <w:color w:val="auto"/>
        </w:rPr>
        <w:t>État des lieux et analyse de besoins des principaux médias numériques</w:t>
      </w:r>
    </w:p>
    <w:p>
      <w:pPr>
        <w:spacing w:after="0" w:line="36" w:lineRule="exact"/>
        <w:rPr>
          <w:rFonts w:ascii="Calibri" w:cs="Calibri" w:eastAsia="Calibri" w:hAnsi="Calibri"/>
          <w:sz w:val="20"/>
          <w:szCs w:val="20"/>
          <w:b w:val="1"/>
          <w:bCs w:val="1"/>
          <w:color w:val="auto"/>
        </w:rPr>
      </w:pPr>
    </w:p>
    <w:p>
      <w:pPr>
        <w:ind w:left="722" w:hanging="362"/>
        <w:spacing w:after="0" w:line="276" w:lineRule="auto"/>
        <w:tabs>
          <w:tab w:leader="none" w:pos="722" w:val="left"/>
        </w:tabs>
        <w:numPr>
          <w:ilvl w:val="1"/>
          <w:numId w:val="3"/>
        </w:numPr>
        <w:rPr>
          <w:rFonts w:ascii="Calibri" w:cs="Calibri" w:eastAsia="Calibri" w:hAnsi="Calibri"/>
          <w:sz w:val="20"/>
          <w:szCs w:val="20"/>
          <w:color w:val="auto"/>
        </w:rPr>
      </w:pPr>
      <w:r>
        <w:rPr>
          <w:rFonts w:ascii="Calibri" w:cs="Calibri" w:eastAsia="Calibri" w:hAnsi="Calibri"/>
          <w:sz w:val="20"/>
          <w:szCs w:val="20"/>
          <w:u w:val="single" w:color="auto"/>
          <w:color w:val="auto"/>
        </w:rPr>
        <w:t>Contexte</w:t>
      </w:r>
      <w:r>
        <w:rPr>
          <w:rFonts w:ascii="Calibri" w:cs="Calibri" w:eastAsia="Calibri" w:hAnsi="Calibri"/>
          <w:sz w:val="20"/>
          <w:szCs w:val="20"/>
          <w:color w:val="auto"/>
        </w:rPr>
        <w:t xml:space="preserve"> : Quel est le contexte (économique, politique et légal) dans lequel les médias numériques opèrent et évoluent ? Quelles sont les tendances du secteur à travers le pays ?</w:t>
      </w:r>
    </w:p>
    <w:p>
      <w:pPr>
        <w:ind w:left="722" w:hanging="362"/>
        <w:spacing w:after="0" w:line="276" w:lineRule="auto"/>
        <w:tabs>
          <w:tab w:leader="none" w:pos="722" w:val="left"/>
        </w:tabs>
        <w:numPr>
          <w:ilvl w:val="1"/>
          <w:numId w:val="3"/>
        </w:numPr>
        <w:rPr>
          <w:rFonts w:ascii="Calibri" w:cs="Calibri" w:eastAsia="Calibri" w:hAnsi="Calibri"/>
          <w:sz w:val="20"/>
          <w:szCs w:val="20"/>
          <w:color w:val="auto"/>
        </w:rPr>
      </w:pPr>
      <w:r>
        <w:rPr>
          <w:rFonts w:ascii="Calibri" w:cs="Calibri" w:eastAsia="Calibri" w:hAnsi="Calibri"/>
          <w:sz w:val="20"/>
          <w:szCs w:val="20"/>
          <w:u w:val="single" w:color="auto"/>
          <w:color w:val="auto"/>
        </w:rPr>
        <w:t>État des lieux et cartographie des médias numériques</w:t>
      </w:r>
      <w:r>
        <w:rPr>
          <w:rFonts w:ascii="Calibri" w:cs="Calibri" w:eastAsia="Calibri" w:hAnsi="Calibri"/>
          <w:sz w:val="20"/>
          <w:szCs w:val="20"/>
          <w:color w:val="auto"/>
        </w:rPr>
        <w:t xml:space="preserve"> : Quels sont les médias numériques les plus connus et consultés, et pourquoi ? Quels sont leurs points forts ?</w:t>
      </w:r>
    </w:p>
    <w:p>
      <w:pPr>
        <w:jc w:val="both"/>
        <w:ind w:left="722" w:hanging="362"/>
        <w:spacing w:after="0" w:line="276" w:lineRule="auto"/>
        <w:tabs>
          <w:tab w:leader="none" w:pos="722" w:val="left"/>
        </w:tabs>
        <w:numPr>
          <w:ilvl w:val="1"/>
          <w:numId w:val="3"/>
        </w:numPr>
        <w:rPr>
          <w:rFonts w:ascii="Calibri" w:cs="Calibri" w:eastAsia="Calibri" w:hAnsi="Calibri"/>
          <w:sz w:val="20"/>
          <w:szCs w:val="20"/>
          <w:color w:val="auto"/>
        </w:rPr>
      </w:pPr>
      <w:r>
        <w:rPr>
          <w:rFonts w:ascii="Calibri" w:cs="Calibri" w:eastAsia="Calibri" w:hAnsi="Calibri"/>
          <w:sz w:val="20"/>
          <w:szCs w:val="20"/>
          <w:u w:val="single" w:color="auto"/>
          <w:color w:val="auto"/>
        </w:rPr>
        <w:t>Développement et besoins</w:t>
      </w:r>
      <w:r>
        <w:rPr>
          <w:rFonts w:ascii="Calibri" w:cs="Calibri" w:eastAsia="Calibri" w:hAnsi="Calibri"/>
          <w:sz w:val="20"/>
          <w:szCs w:val="20"/>
          <w:color w:val="auto"/>
        </w:rPr>
        <w:t xml:space="preserve"> : Quel est leur niveau de maturité (structuration du management éditorial et organisationnel et viabilité du modèle économique) ? Quels axes de développement est-ce qu’ils poursuivent, et quels sont les besoins (humains, techniques et matériels) existants et non-couverts ?</w:t>
      </w:r>
    </w:p>
    <w:p>
      <w:pPr>
        <w:spacing w:after="0" w:line="2" w:lineRule="exact"/>
        <w:rPr>
          <w:rFonts w:ascii="Calibri" w:cs="Calibri" w:eastAsia="Calibri" w:hAnsi="Calibri"/>
          <w:sz w:val="20"/>
          <w:szCs w:val="20"/>
          <w:color w:val="auto"/>
        </w:rPr>
      </w:pPr>
    </w:p>
    <w:p>
      <w:pPr>
        <w:jc w:val="both"/>
        <w:ind w:left="722" w:hanging="362"/>
        <w:spacing w:after="0" w:line="275" w:lineRule="auto"/>
        <w:tabs>
          <w:tab w:leader="none" w:pos="722" w:val="left"/>
        </w:tabs>
        <w:numPr>
          <w:ilvl w:val="1"/>
          <w:numId w:val="3"/>
        </w:numPr>
        <w:rPr>
          <w:rFonts w:ascii="Calibri" w:cs="Calibri" w:eastAsia="Calibri" w:hAnsi="Calibri"/>
          <w:sz w:val="20"/>
          <w:szCs w:val="20"/>
          <w:color w:val="auto"/>
        </w:rPr>
      </w:pPr>
      <w:r>
        <w:rPr>
          <w:rFonts w:ascii="Calibri" w:cs="Calibri" w:eastAsia="Calibri" w:hAnsi="Calibri"/>
          <w:sz w:val="20"/>
          <w:szCs w:val="20"/>
          <w:u w:val="single" w:color="auto"/>
          <w:color w:val="auto"/>
        </w:rPr>
        <w:t>Capitalisation</w:t>
      </w:r>
      <w:r>
        <w:rPr>
          <w:rFonts w:ascii="Calibri" w:cs="Calibri" w:eastAsia="Calibri" w:hAnsi="Calibri"/>
          <w:sz w:val="20"/>
          <w:szCs w:val="20"/>
          <w:color w:val="auto"/>
        </w:rPr>
        <w:t xml:space="preserve"> : Parmi les appuis techniques et financiers reçus par les médias numériques (de manière générale, et de la part de CFI en particulier – </w:t>
      </w:r>
      <w:r>
        <w:rPr>
          <w:rFonts w:ascii="Calibri" w:cs="Calibri" w:eastAsia="Calibri" w:hAnsi="Calibri"/>
          <w:sz w:val="20"/>
          <w:szCs w:val="20"/>
          <w:i w:val="1"/>
          <w:iCs w:val="1"/>
          <w:color w:val="auto"/>
        </w:rPr>
        <w:t>Médias360, Dialoguesahel, MédiaSahel, AfriKibaaru</w:t>
      </w:r>
      <w:r>
        <w:rPr>
          <w:rFonts w:ascii="Calibri" w:cs="Calibri" w:eastAsia="Calibri" w:hAnsi="Calibri"/>
          <w:sz w:val="20"/>
          <w:szCs w:val="20"/>
          <w:color w:val="auto"/>
        </w:rPr>
        <w:t>), quelles approches sont estimées utiles et efficaces ?</w:t>
      </w:r>
    </w:p>
    <w:p>
      <w:pPr>
        <w:jc w:val="both"/>
        <w:ind w:left="722" w:hanging="362"/>
        <w:spacing w:after="0" w:line="276" w:lineRule="auto"/>
        <w:tabs>
          <w:tab w:leader="none" w:pos="722" w:val="left"/>
        </w:tabs>
        <w:numPr>
          <w:ilvl w:val="1"/>
          <w:numId w:val="3"/>
        </w:numPr>
        <w:rPr>
          <w:rFonts w:ascii="Calibri" w:cs="Calibri" w:eastAsia="Calibri" w:hAnsi="Calibri"/>
          <w:sz w:val="20"/>
          <w:szCs w:val="20"/>
          <w:color w:val="auto"/>
        </w:rPr>
      </w:pPr>
      <w:r>
        <w:rPr>
          <w:rFonts w:ascii="Calibri" w:cs="Calibri" w:eastAsia="Calibri" w:hAnsi="Calibri"/>
          <w:sz w:val="20"/>
          <w:szCs w:val="20"/>
          <w:u w:val="single" w:color="auto"/>
          <w:color w:val="auto"/>
        </w:rPr>
        <w:t>Recommandations</w:t>
      </w:r>
      <w:r>
        <w:rPr>
          <w:rFonts w:ascii="Calibri" w:cs="Calibri" w:eastAsia="Calibri" w:hAnsi="Calibri"/>
          <w:sz w:val="20"/>
          <w:szCs w:val="20"/>
          <w:color w:val="auto"/>
        </w:rPr>
        <w:t xml:space="preserve"> : À l’avenir, quelles approches devraient être privilégiées par CFI (et par ses partenaires) afin de répondre au mieux aux besoins exprimés par les médias numériques ? Quelles approches innovantes pourraient être expérimentées ?</w:t>
      </w:r>
    </w:p>
    <w:p>
      <w:pPr>
        <w:ind w:left="722" w:hanging="514"/>
        <w:spacing w:after="0"/>
        <w:tabs>
          <w:tab w:leader="none" w:pos="722" w:val="left"/>
        </w:tabs>
        <w:numPr>
          <w:ilvl w:val="0"/>
          <w:numId w:val="3"/>
        </w:numPr>
        <w:rPr>
          <w:rFonts w:ascii="Calibri" w:cs="Calibri" w:eastAsia="Calibri" w:hAnsi="Calibri"/>
          <w:sz w:val="20"/>
          <w:szCs w:val="20"/>
          <w:b w:val="1"/>
          <w:bCs w:val="1"/>
          <w:color w:val="auto"/>
        </w:rPr>
      </w:pPr>
      <w:r>
        <w:rPr>
          <w:rFonts w:ascii="Calibri" w:cs="Calibri" w:eastAsia="Calibri" w:hAnsi="Calibri"/>
          <w:sz w:val="20"/>
          <w:szCs w:val="20"/>
          <w:b w:val="1"/>
          <w:bCs w:val="1"/>
          <w:color w:val="auto"/>
        </w:rPr>
        <w:t>Analyse des stratégies et des opportunités en lien avec le numérique pour les radios de proximité</w:t>
      </w:r>
    </w:p>
    <w:p>
      <w:pPr>
        <w:spacing w:after="0" w:line="36" w:lineRule="exact"/>
        <w:rPr>
          <w:rFonts w:ascii="Calibri" w:cs="Calibri" w:eastAsia="Calibri" w:hAnsi="Calibri"/>
          <w:sz w:val="20"/>
          <w:szCs w:val="20"/>
          <w:b w:val="1"/>
          <w:bCs w:val="1"/>
          <w:color w:val="auto"/>
        </w:rPr>
      </w:pPr>
    </w:p>
    <w:p>
      <w:pPr>
        <w:jc w:val="both"/>
        <w:ind w:left="722" w:hanging="362"/>
        <w:spacing w:after="0" w:line="276" w:lineRule="auto"/>
        <w:tabs>
          <w:tab w:leader="none" w:pos="722" w:val="left"/>
        </w:tabs>
        <w:numPr>
          <w:ilvl w:val="1"/>
          <w:numId w:val="3"/>
        </w:numPr>
        <w:rPr>
          <w:rFonts w:ascii="Calibri" w:cs="Calibri" w:eastAsia="Calibri" w:hAnsi="Calibri"/>
          <w:sz w:val="20"/>
          <w:szCs w:val="20"/>
          <w:color w:val="auto"/>
        </w:rPr>
      </w:pPr>
      <w:r>
        <w:rPr>
          <w:rFonts w:ascii="Calibri" w:cs="Calibri" w:eastAsia="Calibri" w:hAnsi="Calibri"/>
          <w:sz w:val="20"/>
          <w:szCs w:val="20"/>
          <w:u w:val="single" w:color="auto"/>
          <w:color w:val="auto"/>
        </w:rPr>
        <w:t>Stratégies existantes</w:t>
      </w:r>
      <w:r>
        <w:rPr>
          <w:rFonts w:ascii="Calibri" w:cs="Calibri" w:eastAsia="Calibri" w:hAnsi="Calibri"/>
          <w:sz w:val="20"/>
          <w:szCs w:val="20"/>
          <w:color w:val="auto"/>
        </w:rPr>
        <w:t xml:space="preserve"> : Comment les radios de proximité se positionnent sur les plateformes numériques ? Quelles sont les différentes stratégies choisies (multiplication de canaux, choix de plateformes spécifiques (SoundCloud, etc.) et générales (sites web, réseaux sociaux), recyclage ou adaptation de contenus, etc.) ?</w:t>
      </w:r>
    </w:p>
    <w:p>
      <w:pPr>
        <w:spacing w:after="0" w:line="2" w:lineRule="exact"/>
        <w:rPr>
          <w:rFonts w:ascii="Calibri" w:cs="Calibri" w:eastAsia="Calibri" w:hAnsi="Calibri"/>
          <w:sz w:val="20"/>
          <w:szCs w:val="20"/>
          <w:color w:val="auto"/>
        </w:rPr>
      </w:pPr>
    </w:p>
    <w:p>
      <w:pPr>
        <w:ind w:left="722" w:hanging="362"/>
        <w:spacing w:after="0" w:line="276" w:lineRule="auto"/>
        <w:tabs>
          <w:tab w:leader="none" w:pos="722" w:val="left"/>
        </w:tabs>
        <w:numPr>
          <w:ilvl w:val="1"/>
          <w:numId w:val="3"/>
        </w:numPr>
        <w:rPr>
          <w:rFonts w:ascii="Calibri" w:cs="Calibri" w:eastAsia="Calibri" w:hAnsi="Calibri"/>
          <w:sz w:val="20"/>
          <w:szCs w:val="20"/>
          <w:color w:val="auto"/>
        </w:rPr>
      </w:pPr>
      <w:r>
        <w:rPr>
          <w:rFonts w:ascii="Calibri" w:cs="Calibri" w:eastAsia="Calibri" w:hAnsi="Calibri"/>
          <w:sz w:val="20"/>
          <w:szCs w:val="20"/>
          <w:u w:val="single" w:color="auto"/>
          <w:color w:val="auto"/>
        </w:rPr>
        <w:t>Évaluation des principales stratégies identifiées</w:t>
      </w:r>
      <w:r>
        <w:rPr>
          <w:rFonts w:ascii="Calibri" w:cs="Calibri" w:eastAsia="Calibri" w:hAnsi="Calibri"/>
          <w:sz w:val="20"/>
          <w:szCs w:val="20"/>
          <w:color w:val="auto"/>
        </w:rPr>
        <w:t xml:space="preserve"> : Quelles sont les stratégies les plus pertinentes et efficaces ? Quels sont les facteurs de réussite ? Quels moyens (humains, techniques et matériels) sont nécessaires ?</w:t>
      </w:r>
    </w:p>
    <w:p>
      <w:pPr>
        <w:jc w:val="both"/>
        <w:ind w:left="722" w:hanging="362"/>
        <w:spacing w:after="0" w:line="302" w:lineRule="auto"/>
        <w:tabs>
          <w:tab w:leader="none" w:pos="722" w:val="left"/>
        </w:tabs>
        <w:numPr>
          <w:ilvl w:val="1"/>
          <w:numId w:val="3"/>
        </w:numPr>
        <w:rPr>
          <w:rFonts w:ascii="Calibri" w:cs="Calibri" w:eastAsia="Calibri" w:hAnsi="Calibri"/>
          <w:sz w:val="19"/>
          <w:szCs w:val="19"/>
          <w:color w:val="auto"/>
        </w:rPr>
      </w:pPr>
      <w:r>
        <w:rPr>
          <w:rFonts w:ascii="Calibri" w:cs="Calibri" w:eastAsia="Calibri" w:hAnsi="Calibri"/>
          <w:sz w:val="19"/>
          <w:szCs w:val="19"/>
          <w:u w:val="single" w:color="auto"/>
          <w:color w:val="auto"/>
        </w:rPr>
        <w:t>Recommandations</w:t>
      </w:r>
      <w:r>
        <w:rPr>
          <w:rFonts w:ascii="Calibri" w:cs="Calibri" w:eastAsia="Calibri" w:hAnsi="Calibri"/>
          <w:sz w:val="19"/>
          <w:szCs w:val="19"/>
          <w:color w:val="auto"/>
        </w:rPr>
        <w:t xml:space="preserve"> : Quelles opportunités existent en lien avec le numérique qui sont adaptées aux capacités des radios de proximité ? Quelles opportunités sont déjà saisies par les radios de proximité, quelles opportunités pourraient être saisies davantage ? Quelles actions pourraient être mises en place afin de renforcer les capacités des radios de proximité afin qu’elles puissent saisir les opportunités en lien avec le numérique ?</w:t>
      </w:r>
    </w:p>
    <w:p>
      <w:pPr>
        <w:spacing w:after="0" w:line="153" w:lineRule="exact"/>
        <w:rPr>
          <w:sz w:val="20"/>
          <w:szCs w:val="20"/>
          <w:color w:val="auto"/>
        </w:rPr>
      </w:pPr>
    </w:p>
    <w:p>
      <w:pPr>
        <w:ind w:left="2"/>
        <w:spacing w:after="0"/>
        <w:rPr>
          <w:sz w:val="20"/>
          <w:szCs w:val="20"/>
          <w:color w:val="auto"/>
        </w:rPr>
      </w:pPr>
      <w:r>
        <w:rPr>
          <w:rFonts w:ascii="Calibri" w:cs="Calibri" w:eastAsia="Calibri" w:hAnsi="Calibri"/>
          <w:sz w:val="20"/>
          <w:szCs w:val="20"/>
          <w:color w:val="auto"/>
        </w:rPr>
        <w:t>Spécifiquement, la Prestation consiste à :</w:t>
      </w:r>
    </w:p>
    <w:p>
      <w:pPr>
        <w:spacing w:after="0" w:line="47" w:lineRule="exact"/>
        <w:rPr>
          <w:sz w:val="20"/>
          <w:szCs w:val="20"/>
          <w:color w:val="auto"/>
        </w:rPr>
      </w:pPr>
    </w:p>
    <w:p>
      <w:pPr>
        <w:ind w:left="362" w:hanging="362"/>
        <w:spacing w:after="0"/>
        <w:tabs>
          <w:tab w:leader="none" w:pos="362" w:val="left"/>
        </w:tabs>
        <w:numPr>
          <w:ilvl w:val="0"/>
          <w:numId w:val="4"/>
        </w:numPr>
        <w:rPr>
          <w:rFonts w:ascii="Arial" w:cs="Arial" w:eastAsia="Arial" w:hAnsi="Arial"/>
          <w:sz w:val="20"/>
          <w:szCs w:val="20"/>
          <w:color w:val="auto"/>
        </w:rPr>
      </w:pPr>
      <w:r>
        <w:rPr>
          <w:rFonts w:ascii="Calibri" w:cs="Calibri" w:eastAsia="Calibri" w:hAnsi="Calibri"/>
          <w:sz w:val="20"/>
          <w:szCs w:val="20"/>
          <w:b w:val="1"/>
          <w:bCs w:val="1"/>
          <w:color w:val="auto"/>
        </w:rPr>
        <w:t>Concevoir et préparer la méthodologie (2 jours ouvrés)</w:t>
      </w:r>
    </w:p>
    <w:p>
      <w:pPr>
        <w:spacing w:after="0" w:line="36" w:lineRule="exact"/>
        <w:rPr>
          <w:rFonts w:ascii="Arial" w:cs="Arial" w:eastAsia="Arial" w:hAnsi="Arial"/>
          <w:sz w:val="20"/>
          <w:szCs w:val="20"/>
          <w:color w:val="auto"/>
        </w:rPr>
      </w:pPr>
    </w:p>
    <w:p>
      <w:pPr>
        <w:jc w:val="both"/>
        <w:ind w:left="362" w:right="220"/>
        <w:spacing w:after="0" w:line="287" w:lineRule="auto"/>
        <w:rPr>
          <w:rFonts w:ascii="Arial" w:cs="Arial" w:eastAsia="Arial" w:hAnsi="Arial"/>
          <w:sz w:val="20"/>
          <w:szCs w:val="20"/>
          <w:color w:val="auto"/>
        </w:rPr>
      </w:pPr>
      <w:r>
        <w:rPr>
          <w:rFonts w:ascii="Calibri" w:cs="Calibri" w:eastAsia="Calibri" w:hAnsi="Calibri"/>
          <w:sz w:val="20"/>
          <w:szCs w:val="20"/>
          <w:u w:val="single" w:color="auto"/>
          <w:color w:val="auto"/>
        </w:rPr>
        <w:t>Principales tâches</w:t>
      </w:r>
      <w:r>
        <w:rPr>
          <w:rFonts w:ascii="Calibri" w:cs="Calibri" w:eastAsia="Calibri" w:hAnsi="Calibri"/>
          <w:sz w:val="20"/>
          <w:szCs w:val="20"/>
          <w:color w:val="auto"/>
        </w:rPr>
        <w:t xml:space="preserve"> : Identification des principales sources et parties prenantes à consulter (documents, liste de médias, d’organisations socio-professionnelles, de personnes expertes dans le domaine des médias numériques et de la transition numérique des radios de proximité à consulter) et co-conception des outils de collecte de</w:t>
      </w:r>
    </w:p>
    <w:p>
      <w:pPr>
        <w:sectPr>
          <w:pgSz w:w="12240" w:h="15840" w:orient="portrait"/>
          <w:cols w:equalWidth="0" w:num="1">
            <w:col w:w="9722"/>
          </w:cols>
          <w:pgMar w:left="1258" w:top="1349" w:right="1260" w:bottom="998" w:gutter="0" w:footer="0" w:header="0"/>
        </w:sectPr>
      </w:pPr>
    </w:p>
    <w:bookmarkStart w:id="2" w:name="page3"/>
    <w:bookmarkEnd w:id="2"/>
    <w:p>
      <w:pPr>
        <w:ind w:left="362" w:right="220"/>
        <w:spacing w:after="0" w:line="279" w:lineRule="auto"/>
        <w:rPr>
          <w:sz w:val="20"/>
          <w:szCs w:val="20"/>
          <w:color w:val="auto"/>
        </w:rPr>
      </w:pPr>
      <w:r>
        <w:rPr>
          <w:rFonts w:ascii="Calibri" w:cs="Calibri" w:eastAsia="Calibri" w:hAnsi="Calibri"/>
          <w:sz w:val="20"/>
          <w:szCs w:val="20"/>
          <w:color w:val="auto"/>
        </w:rPr>
        <w:t>données (listes/grilles, guides d’entretien ou questionnaires) avec la consultante chargée des études, participation à une réunion de cadrage</w:t>
      </w:r>
    </w:p>
    <w:p>
      <w:pPr>
        <w:spacing w:after="0" w:line="2" w:lineRule="exact"/>
        <w:rPr>
          <w:sz w:val="20"/>
          <w:szCs w:val="20"/>
          <w:color w:val="auto"/>
        </w:rPr>
      </w:pPr>
    </w:p>
    <w:p>
      <w:pPr>
        <w:ind w:left="362" w:hanging="362"/>
        <w:spacing w:after="0"/>
        <w:tabs>
          <w:tab w:leader="none" w:pos="362" w:val="left"/>
        </w:tabs>
        <w:numPr>
          <w:ilvl w:val="0"/>
          <w:numId w:val="5"/>
        </w:numPr>
        <w:rPr>
          <w:rFonts w:ascii="Arial" w:cs="Arial" w:eastAsia="Arial" w:hAnsi="Arial"/>
          <w:sz w:val="20"/>
          <w:szCs w:val="20"/>
          <w:color w:val="auto"/>
        </w:rPr>
      </w:pPr>
      <w:r>
        <w:rPr>
          <w:rFonts w:ascii="Calibri" w:cs="Calibri" w:eastAsia="Calibri" w:hAnsi="Calibri"/>
          <w:sz w:val="20"/>
          <w:szCs w:val="20"/>
          <w:b w:val="1"/>
          <w:bCs w:val="1"/>
          <w:color w:val="auto"/>
        </w:rPr>
        <w:t>Collecter et analyser des données (8 jours ouvrés)</w:t>
      </w:r>
    </w:p>
    <w:p>
      <w:pPr>
        <w:spacing w:after="0" w:line="36" w:lineRule="exact"/>
        <w:rPr>
          <w:rFonts w:ascii="Arial" w:cs="Arial" w:eastAsia="Arial" w:hAnsi="Arial"/>
          <w:sz w:val="20"/>
          <w:szCs w:val="20"/>
          <w:color w:val="auto"/>
        </w:rPr>
      </w:pPr>
    </w:p>
    <w:p>
      <w:pPr>
        <w:jc w:val="both"/>
        <w:ind w:left="362" w:right="220"/>
        <w:spacing w:after="0" w:line="278" w:lineRule="auto"/>
        <w:rPr>
          <w:rFonts w:ascii="Arial" w:cs="Arial" w:eastAsia="Arial" w:hAnsi="Arial"/>
          <w:sz w:val="20"/>
          <w:szCs w:val="20"/>
          <w:color w:val="auto"/>
        </w:rPr>
      </w:pPr>
      <w:r>
        <w:rPr>
          <w:rFonts w:ascii="Calibri" w:cs="Calibri" w:eastAsia="Calibri" w:hAnsi="Calibri"/>
          <w:sz w:val="20"/>
          <w:szCs w:val="20"/>
          <w:u w:val="single" w:color="auto"/>
          <w:color w:val="auto"/>
        </w:rPr>
        <w:t>Principales tâches</w:t>
      </w:r>
      <w:r>
        <w:rPr>
          <w:rFonts w:ascii="Calibri" w:cs="Calibri" w:eastAsia="Calibri" w:hAnsi="Calibri"/>
          <w:sz w:val="20"/>
          <w:szCs w:val="20"/>
          <w:color w:val="auto"/>
        </w:rPr>
        <w:t xml:space="preserve"> : Production d’une cartographie des médias numériques (sous forme de grille : nom, type, année de création, taille, réseaux sociaux, contact de la direction, observations), analyse des stratégies numériques des radios de proximité, prise de contact avec un échantillon de médias et de personnes à consulter, réalisation d’au moins 10 entretiens semi-directifs avec les personnes identifiées, documentation des données collectées</w:t>
      </w:r>
    </w:p>
    <w:p>
      <w:pPr>
        <w:ind w:left="362" w:hanging="362"/>
        <w:spacing w:after="0"/>
        <w:tabs>
          <w:tab w:leader="none" w:pos="362" w:val="left"/>
        </w:tabs>
        <w:numPr>
          <w:ilvl w:val="0"/>
          <w:numId w:val="5"/>
        </w:numPr>
        <w:rPr>
          <w:rFonts w:ascii="Arial" w:cs="Arial" w:eastAsia="Arial" w:hAnsi="Arial"/>
          <w:sz w:val="20"/>
          <w:szCs w:val="20"/>
          <w:color w:val="auto"/>
        </w:rPr>
      </w:pPr>
      <w:r>
        <w:rPr>
          <w:rFonts w:ascii="Calibri" w:cs="Calibri" w:eastAsia="Calibri" w:hAnsi="Calibri"/>
          <w:sz w:val="20"/>
          <w:szCs w:val="20"/>
          <w:b w:val="1"/>
          <w:bCs w:val="1"/>
          <w:color w:val="auto"/>
        </w:rPr>
        <w:t>Rédaction et finalisation du rapport (4 jours ouvrés)</w:t>
      </w:r>
    </w:p>
    <w:p>
      <w:pPr>
        <w:spacing w:after="0" w:line="36" w:lineRule="exact"/>
        <w:rPr>
          <w:rFonts w:ascii="Arial" w:cs="Arial" w:eastAsia="Arial" w:hAnsi="Arial"/>
          <w:sz w:val="20"/>
          <w:szCs w:val="20"/>
          <w:color w:val="auto"/>
        </w:rPr>
      </w:pPr>
    </w:p>
    <w:p>
      <w:pPr>
        <w:ind w:left="362" w:right="220"/>
        <w:spacing w:after="0" w:line="301" w:lineRule="auto"/>
        <w:rPr>
          <w:rFonts w:ascii="Arial" w:cs="Arial" w:eastAsia="Arial" w:hAnsi="Arial"/>
          <w:sz w:val="20"/>
          <w:szCs w:val="20"/>
          <w:color w:val="auto"/>
        </w:rPr>
      </w:pPr>
      <w:r>
        <w:rPr>
          <w:rFonts w:ascii="Calibri" w:cs="Calibri" w:eastAsia="Calibri" w:hAnsi="Calibri"/>
          <w:sz w:val="20"/>
          <w:szCs w:val="20"/>
          <w:u w:val="single" w:color="auto"/>
          <w:color w:val="auto"/>
        </w:rPr>
        <w:t>Principales tâches</w:t>
      </w:r>
      <w:r>
        <w:rPr>
          <w:rFonts w:ascii="Calibri" w:cs="Calibri" w:eastAsia="Calibri" w:hAnsi="Calibri"/>
          <w:sz w:val="20"/>
          <w:szCs w:val="20"/>
          <w:color w:val="auto"/>
        </w:rPr>
        <w:t xml:space="preserve"> : Analyse des données collectées, rédaction d’un projet de rapport, finalisation du rapport, participation à une réunion de débriefing</w:t>
      </w:r>
    </w:p>
    <w:p>
      <w:pPr>
        <w:spacing w:after="0" w:line="185" w:lineRule="exact"/>
        <w:rPr>
          <w:sz w:val="20"/>
          <w:szCs w:val="20"/>
          <w:color w:val="auto"/>
        </w:rPr>
      </w:pPr>
    </w:p>
    <w:p>
      <w:pPr>
        <w:ind w:left="2"/>
        <w:spacing w:after="0"/>
        <w:rPr>
          <w:sz w:val="20"/>
          <w:szCs w:val="20"/>
          <w:color w:val="auto"/>
        </w:rPr>
      </w:pPr>
      <w:r>
        <w:rPr>
          <w:rFonts w:ascii="Calibri" w:cs="Calibri" w:eastAsia="Calibri" w:hAnsi="Calibri"/>
          <w:sz w:val="24"/>
          <w:szCs w:val="24"/>
          <w:b w:val="1"/>
          <w:bCs w:val="1"/>
          <w:color w:val="auto"/>
        </w:rPr>
        <w:t>5.  LIVRABLES</w:t>
      </w:r>
    </w:p>
    <w:p>
      <w:pPr>
        <w:spacing w:after="0" w:line="172" w:lineRule="exact"/>
        <w:rPr>
          <w:sz w:val="20"/>
          <w:szCs w:val="20"/>
          <w:color w:val="auto"/>
        </w:rPr>
      </w:pPr>
    </w:p>
    <w:p>
      <w:pPr>
        <w:ind w:left="2"/>
        <w:spacing w:after="0"/>
        <w:rPr>
          <w:sz w:val="20"/>
          <w:szCs w:val="20"/>
          <w:color w:val="auto"/>
        </w:rPr>
      </w:pPr>
      <w:r>
        <w:rPr>
          <w:rFonts w:ascii="Calibri" w:cs="Calibri" w:eastAsia="Calibri" w:hAnsi="Calibri"/>
          <w:sz w:val="20"/>
          <w:szCs w:val="20"/>
          <w:color w:val="auto"/>
        </w:rPr>
        <w:t>Le/la Prestataire remettra à CFI, en version dématérialisée :</w:t>
      </w:r>
    </w:p>
    <w:p>
      <w:pPr>
        <w:spacing w:after="0" w:line="32" w:lineRule="exact"/>
        <w:rPr>
          <w:sz w:val="20"/>
          <w:szCs w:val="20"/>
          <w:color w:val="auto"/>
        </w:rPr>
      </w:pPr>
    </w:p>
    <w:p>
      <w:pPr>
        <w:ind w:left="362" w:hanging="362"/>
        <w:spacing w:after="0"/>
        <w:tabs>
          <w:tab w:leader="none" w:pos="362" w:val="left"/>
        </w:tabs>
        <w:numPr>
          <w:ilvl w:val="0"/>
          <w:numId w:val="6"/>
        </w:numPr>
        <w:rPr>
          <w:rFonts w:ascii="Calibri" w:cs="Calibri" w:eastAsia="Calibri" w:hAnsi="Calibri"/>
          <w:sz w:val="20"/>
          <w:szCs w:val="20"/>
          <w:color w:val="auto"/>
        </w:rPr>
      </w:pPr>
      <w:r>
        <w:rPr>
          <w:rFonts w:ascii="Calibri" w:cs="Calibri" w:eastAsia="Calibri" w:hAnsi="Calibri"/>
          <w:sz w:val="20"/>
          <w:szCs w:val="20"/>
          <w:u w:val="single" w:color="auto"/>
          <w:color w:val="auto"/>
        </w:rPr>
        <w:t>Avant le 15 mai 2023</w:t>
      </w:r>
      <w:r>
        <w:rPr>
          <w:rFonts w:ascii="Calibri" w:cs="Calibri" w:eastAsia="Calibri" w:hAnsi="Calibri"/>
          <w:sz w:val="20"/>
          <w:szCs w:val="20"/>
          <w:color w:val="auto"/>
        </w:rPr>
        <w:t xml:space="preserve"> : un </w:t>
      </w:r>
      <w:r>
        <w:rPr>
          <w:rFonts w:ascii="Calibri" w:cs="Calibri" w:eastAsia="Calibri" w:hAnsi="Calibri"/>
          <w:sz w:val="20"/>
          <w:szCs w:val="20"/>
          <w:b w:val="1"/>
          <w:bCs w:val="1"/>
          <w:color w:val="auto"/>
        </w:rPr>
        <w:t>projet de rapport</w:t>
      </w:r>
      <w:r>
        <w:rPr>
          <w:rFonts w:ascii="Calibri" w:cs="Calibri" w:eastAsia="Calibri" w:hAnsi="Calibri"/>
          <w:sz w:val="20"/>
          <w:szCs w:val="20"/>
          <w:color w:val="auto"/>
        </w:rPr>
        <w:t xml:space="preserve"> présentant les résultats de l’analyse (14 pages max. hors annexes)</w:t>
      </w:r>
    </w:p>
    <w:p>
      <w:pPr>
        <w:spacing w:after="0" w:line="34" w:lineRule="exact"/>
        <w:rPr>
          <w:rFonts w:ascii="Calibri" w:cs="Calibri" w:eastAsia="Calibri" w:hAnsi="Calibri"/>
          <w:sz w:val="20"/>
          <w:szCs w:val="20"/>
          <w:color w:val="auto"/>
        </w:rPr>
      </w:pPr>
    </w:p>
    <w:p>
      <w:pPr>
        <w:ind w:left="362" w:hanging="362"/>
        <w:spacing w:after="0" w:line="266" w:lineRule="auto"/>
        <w:tabs>
          <w:tab w:leader="none" w:pos="362" w:val="left"/>
        </w:tabs>
        <w:numPr>
          <w:ilvl w:val="0"/>
          <w:numId w:val="6"/>
        </w:numPr>
        <w:rPr>
          <w:rFonts w:ascii="Calibri" w:cs="Calibri" w:eastAsia="Calibri" w:hAnsi="Calibri"/>
          <w:sz w:val="20"/>
          <w:szCs w:val="20"/>
          <w:color w:val="auto"/>
        </w:rPr>
      </w:pPr>
      <w:r>
        <w:rPr>
          <w:rFonts w:ascii="Calibri" w:cs="Calibri" w:eastAsia="Calibri" w:hAnsi="Calibri"/>
          <w:sz w:val="20"/>
          <w:szCs w:val="20"/>
          <w:u w:val="single" w:color="auto"/>
          <w:color w:val="auto"/>
        </w:rPr>
        <w:t>Le 26 mai 2023</w:t>
      </w:r>
      <w:r>
        <w:rPr>
          <w:rFonts w:ascii="Calibri" w:cs="Calibri" w:eastAsia="Calibri" w:hAnsi="Calibri"/>
          <w:sz w:val="20"/>
          <w:szCs w:val="20"/>
          <w:color w:val="auto"/>
        </w:rPr>
        <w:t xml:space="preserve"> : le </w:t>
      </w:r>
      <w:r>
        <w:rPr>
          <w:rFonts w:ascii="Calibri" w:cs="Calibri" w:eastAsia="Calibri" w:hAnsi="Calibri"/>
          <w:sz w:val="20"/>
          <w:szCs w:val="20"/>
          <w:b w:val="1"/>
          <w:bCs w:val="1"/>
          <w:color w:val="auto"/>
        </w:rPr>
        <w:t>rapport final</w:t>
      </w:r>
      <w:r>
        <w:rPr>
          <w:rFonts w:ascii="Calibri" w:cs="Calibri" w:eastAsia="Calibri" w:hAnsi="Calibri"/>
          <w:sz w:val="20"/>
          <w:szCs w:val="20"/>
          <w:color w:val="auto"/>
        </w:rPr>
        <w:t xml:space="preserve"> (20 pages max. hors annexes) tenant compte des observations communiquées par CFI au plus tard le 19 mai 2023.</w:t>
      </w:r>
    </w:p>
    <w:p>
      <w:pPr>
        <w:spacing w:after="0" w:line="152" w:lineRule="exact"/>
        <w:rPr>
          <w:sz w:val="20"/>
          <w:szCs w:val="20"/>
          <w:color w:val="auto"/>
        </w:rPr>
      </w:pPr>
    </w:p>
    <w:p>
      <w:pPr>
        <w:ind w:left="2"/>
        <w:spacing w:after="0"/>
        <w:rPr>
          <w:sz w:val="20"/>
          <w:szCs w:val="20"/>
          <w:color w:val="auto"/>
        </w:rPr>
      </w:pPr>
      <w:r>
        <w:rPr>
          <w:rFonts w:ascii="Calibri" w:cs="Calibri" w:eastAsia="Calibri" w:hAnsi="Calibri"/>
          <w:sz w:val="20"/>
          <w:szCs w:val="20"/>
          <w:color w:val="auto"/>
        </w:rPr>
        <w:t>Les livrables devront être rédigés en français et transmis par courrier électronique aux adresses suivantes :</w:t>
      </w:r>
    </w:p>
    <w:p>
      <w:pPr>
        <w:spacing w:after="0" w:line="34" w:lineRule="exact"/>
        <w:rPr>
          <w:sz w:val="20"/>
          <w:szCs w:val="20"/>
          <w:color w:val="auto"/>
        </w:rPr>
      </w:pPr>
    </w:p>
    <w:p>
      <w:pPr>
        <w:ind w:left="2"/>
        <w:spacing w:after="0"/>
        <w:rPr>
          <w:sz w:val="20"/>
          <w:szCs w:val="20"/>
          <w:color w:val="auto"/>
        </w:rPr>
      </w:pPr>
      <w:r>
        <w:rPr>
          <w:rFonts w:ascii="Calibri" w:cs="Calibri" w:eastAsia="Calibri" w:hAnsi="Calibri"/>
          <w:sz w:val="20"/>
          <w:szCs w:val="20"/>
          <w:color w:val="auto"/>
        </w:rPr>
        <w:t>salome.sabattini@cfi.fr ; laurence.burckel@cfi.fr</w:t>
      </w:r>
    </w:p>
    <w:p>
      <w:pPr>
        <w:spacing w:after="0" w:line="275" w:lineRule="exact"/>
        <w:rPr>
          <w:sz w:val="20"/>
          <w:szCs w:val="20"/>
          <w:color w:val="auto"/>
        </w:rPr>
      </w:pPr>
    </w:p>
    <w:p>
      <w:pPr>
        <w:ind w:left="362" w:hanging="362"/>
        <w:spacing w:after="0"/>
        <w:tabs>
          <w:tab w:leader="none" w:pos="362" w:val="left"/>
        </w:tabs>
        <w:numPr>
          <w:ilvl w:val="0"/>
          <w:numId w:val="7"/>
        </w:numPr>
        <w:rPr>
          <w:rFonts w:ascii="Calibri" w:cs="Calibri" w:eastAsia="Calibri" w:hAnsi="Calibri"/>
          <w:sz w:val="24"/>
          <w:szCs w:val="24"/>
          <w:b w:val="1"/>
          <w:bCs w:val="1"/>
          <w:color w:val="auto"/>
        </w:rPr>
      </w:pPr>
      <w:r>
        <w:rPr>
          <w:rFonts w:ascii="Calibri" w:cs="Calibri" w:eastAsia="Calibri" w:hAnsi="Calibri"/>
          <w:sz w:val="24"/>
          <w:szCs w:val="24"/>
          <w:b w:val="1"/>
          <w:bCs w:val="1"/>
          <w:color w:val="auto"/>
        </w:rPr>
        <w:t>EXPERTISE REQUISE</w:t>
      </w:r>
    </w:p>
    <w:p>
      <w:pPr>
        <w:spacing w:after="0" w:line="167" w:lineRule="exact"/>
        <w:rPr>
          <w:rFonts w:ascii="Calibri" w:cs="Calibri" w:eastAsia="Calibri" w:hAnsi="Calibri"/>
          <w:sz w:val="24"/>
          <w:szCs w:val="24"/>
          <w:b w:val="1"/>
          <w:bCs w:val="1"/>
          <w:color w:val="auto"/>
        </w:rPr>
      </w:pPr>
    </w:p>
    <w:p>
      <w:pPr>
        <w:ind w:left="722" w:hanging="362"/>
        <w:spacing w:after="0" w:line="275" w:lineRule="auto"/>
        <w:tabs>
          <w:tab w:leader="none" w:pos="722" w:val="left"/>
        </w:tabs>
        <w:numPr>
          <w:ilvl w:val="1"/>
          <w:numId w:val="7"/>
        </w:numPr>
        <w:rPr>
          <w:rFonts w:ascii="Times New Roman" w:cs="Times New Roman" w:eastAsia="Times New Roman" w:hAnsi="Times New Roman"/>
          <w:sz w:val="20"/>
          <w:szCs w:val="20"/>
          <w:color w:val="auto"/>
        </w:rPr>
      </w:pPr>
      <w:r>
        <w:rPr>
          <w:rFonts w:ascii="Calibri" w:cs="Calibri" w:eastAsia="Calibri" w:hAnsi="Calibri"/>
          <w:sz w:val="20"/>
          <w:szCs w:val="20"/>
          <w:color w:val="auto"/>
        </w:rPr>
        <w:t>Excellente connaissance du secteur des médias de proximité, des médias numériques et de la transition numérique des médias au Burkina Faso ;</w:t>
      </w:r>
    </w:p>
    <w:p>
      <w:pPr>
        <w:spacing w:after="0" w:line="2" w:lineRule="exact"/>
        <w:rPr>
          <w:rFonts w:ascii="Times New Roman" w:cs="Times New Roman" w:eastAsia="Times New Roman" w:hAnsi="Times New Roman"/>
          <w:sz w:val="20"/>
          <w:szCs w:val="20"/>
          <w:color w:val="auto"/>
        </w:rPr>
      </w:pPr>
    </w:p>
    <w:p>
      <w:pPr>
        <w:ind w:left="722" w:right="320" w:hanging="362"/>
        <w:spacing w:after="0" w:line="275" w:lineRule="auto"/>
        <w:tabs>
          <w:tab w:leader="none" w:pos="722" w:val="left"/>
        </w:tabs>
        <w:numPr>
          <w:ilvl w:val="1"/>
          <w:numId w:val="7"/>
        </w:numPr>
        <w:rPr>
          <w:rFonts w:ascii="Times New Roman" w:cs="Times New Roman" w:eastAsia="Times New Roman" w:hAnsi="Times New Roman"/>
          <w:sz w:val="20"/>
          <w:szCs w:val="20"/>
          <w:color w:val="auto"/>
        </w:rPr>
      </w:pPr>
      <w:r>
        <w:rPr>
          <w:rFonts w:ascii="Calibri" w:cs="Calibri" w:eastAsia="Calibri" w:hAnsi="Calibri"/>
          <w:sz w:val="20"/>
          <w:szCs w:val="20"/>
          <w:color w:val="auto"/>
        </w:rPr>
        <w:t>Expérience dans la conduite d’études en lien avec le secteur des médias et/ou de la démocratie et/ou de la gouvernance ;</w:t>
      </w:r>
    </w:p>
    <w:p>
      <w:pPr>
        <w:spacing w:after="0" w:line="2" w:lineRule="exact"/>
        <w:rPr>
          <w:rFonts w:ascii="Times New Roman" w:cs="Times New Roman" w:eastAsia="Times New Roman" w:hAnsi="Times New Roman"/>
          <w:sz w:val="20"/>
          <w:szCs w:val="20"/>
          <w:color w:val="auto"/>
        </w:rPr>
      </w:pPr>
    </w:p>
    <w:p>
      <w:pPr>
        <w:ind w:left="722" w:hanging="362"/>
        <w:spacing w:after="0"/>
        <w:tabs>
          <w:tab w:leader="none" w:pos="722" w:val="left"/>
        </w:tabs>
        <w:numPr>
          <w:ilvl w:val="1"/>
          <w:numId w:val="7"/>
        </w:numPr>
        <w:rPr>
          <w:rFonts w:ascii="Times New Roman" w:cs="Times New Roman" w:eastAsia="Times New Roman" w:hAnsi="Times New Roman"/>
          <w:sz w:val="20"/>
          <w:szCs w:val="20"/>
          <w:color w:val="auto"/>
        </w:rPr>
      </w:pPr>
      <w:r>
        <w:rPr>
          <w:rFonts w:ascii="Calibri" w:cs="Calibri" w:eastAsia="Calibri" w:hAnsi="Calibri"/>
          <w:sz w:val="20"/>
          <w:szCs w:val="20"/>
          <w:color w:val="auto"/>
        </w:rPr>
        <w:t>Connaissance des outils et techniques de collecte et d’analyse données</w:t>
      </w:r>
    </w:p>
    <w:p>
      <w:pPr>
        <w:spacing w:after="0" w:line="39" w:lineRule="exact"/>
        <w:rPr>
          <w:rFonts w:ascii="Times New Roman" w:cs="Times New Roman" w:eastAsia="Times New Roman" w:hAnsi="Times New Roman"/>
          <w:sz w:val="20"/>
          <w:szCs w:val="20"/>
          <w:color w:val="auto"/>
        </w:rPr>
      </w:pPr>
    </w:p>
    <w:p>
      <w:pPr>
        <w:ind w:left="722" w:hanging="362"/>
        <w:spacing w:after="0"/>
        <w:tabs>
          <w:tab w:leader="none" w:pos="722" w:val="left"/>
        </w:tabs>
        <w:numPr>
          <w:ilvl w:val="1"/>
          <w:numId w:val="7"/>
        </w:numPr>
        <w:rPr>
          <w:rFonts w:ascii="Times New Roman" w:cs="Times New Roman" w:eastAsia="Times New Roman" w:hAnsi="Times New Roman"/>
          <w:sz w:val="20"/>
          <w:szCs w:val="20"/>
          <w:color w:val="auto"/>
        </w:rPr>
      </w:pPr>
      <w:r>
        <w:rPr>
          <w:rFonts w:ascii="Calibri" w:cs="Calibri" w:eastAsia="Calibri" w:hAnsi="Calibri"/>
          <w:sz w:val="20"/>
          <w:szCs w:val="20"/>
          <w:color w:val="auto"/>
        </w:rPr>
        <w:t>Bonne maîtrise du pack office (Word, Excel, PowerPoint)</w:t>
      </w:r>
    </w:p>
    <w:p>
      <w:pPr>
        <w:spacing w:after="0" w:line="34" w:lineRule="exact"/>
        <w:rPr>
          <w:rFonts w:ascii="Times New Roman" w:cs="Times New Roman" w:eastAsia="Times New Roman" w:hAnsi="Times New Roman"/>
          <w:sz w:val="20"/>
          <w:szCs w:val="20"/>
          <w:color w:val="auto"/>
        </w:rPr>
      </w:pPr>
    </w:p>
    <w:p>
      <w:pPr>
        <w:ind w:left="722" w:hanging="362"/>
        <w:spacing w:after="0"/>
        <w:tabs>
          <w:tab w:leader="none" w:pos="722" w:val="left"/>
        </w:tabs>
        <w:numPr>
          <w:ilvl w:val="1"/>
          <w:numId w:val="7"/>
        </w:numPr>
        <w:rPr>
          <w:rFonts w:ascii="Times New Roman" w:cs="Times New Roman" w:eastAsia="Times New Roman" w:hAnsi="Times New Roman"/>
          <w:sz w:val="20"/>
          <w:szCs w:val="20"/>
          <w:color w:val="auto"/>
        </w:rPr>
      </w:pPr>
      <w:r>
        <w:rPr>
          <w:rFonts w:ascii="Calibri" w:cs="Calibri" w:eastAsia="Calibri" w:hAnsi="Calibri"/>
          <w:sz w:val="20"/>
          <w:szCs w:val="20"/>
          <w:color w:val="auto"/>
        </w:rPr>
        <w:t>Bonne capacité d’expression orale et écrite en français.</w:t>
      </w:r>
    </w:p>
    <w:p>
      <w:pPr>
        <w:spacing w:after="0" w:line="236" w:lineRule="exact"/>
        <w:rPr>
          <w:sz w:val="20"/>
          <w:szCs w:val="20"/>
          <w:color w:val="auto"/>
        </w:rPr>
      </w:pPr>
    </w:p>
    <w:p>
      <w:pPr>
        <w:ind w:left="2"/>
        <w:spacing w:after="0"/>
        <w:rPr>
          <w:sz w:val="20"/>
          <w:szCs w:val="20"/>
          <w:color w:val="auto"/>
        </w:rPr>
      </w:pPr>
      <w:r>
        <w:rPr>
          <w:rFonts w:ascii="Calibri" w:cs="Calibri" w:eastAsia="Calibri" w:hAnsi="Calibri"/>
          <w:sz w:val="20"/>
          <w:szCs w:val="20"/>
          <w:color w:val="auto"/>
        </w:rPr>
        <w:t>Les offres de prestataires féminines sont encouragées.</w:t>
      </w:r>
    </w:p>
    <w:p>
      <w:pPr>
        <w:spacing w:after="0" w:line="275" w:lineRule="exact"/>
        <w:rPr>
          <w:sz w:val="20"/>
          <w:szCs w:val="20"/>
          <w:color w:val="auto"/>
        </w:rPr>
      </w:pPr>
    </w:p>
    <w:p>
      <w:pPr>
        <w:ind w:left="2"/>
        <w:spacing w:after="0"/>
        <w:rPr>
          <w:sz w:val="20"/>
          <w:szCs w:val="20"/>
          <w:color w:val="auto"/>
        </w:rPr>
      </w:pPr>
      <w:r>
        <w:rPr>
          <w:rFonts w:ascii="Calibri" w:cs="Calibri" w:eastAsia="Calibri" w:hAnsi="Calibri"/>
          <w:sz w:val="24"/>
          <w:szCs w:val="24"/>
          <w:b w:val="1"/>
          <w:bCs w:val="1"/>
          <w:color w:val="auto"/>
        </w:rPr>
        <w:t>7.  SOUMISSION DES OFFRES</w:t>
      </w:r>
    </w:p>
    <w:p>
      <w:pPr>
        <w:spacing w:after="0" w:line="167" w:lineRule="exact"/>
        <w:rPr>
          <w:sz w:val="20"/>
          <w:szCs w:val="20"/>
          <w:color w:val="auto"/>
        </w:rPr>
      </w:pPr>
    </w:p>
    <w:p>
      <w:pPr>
        <w:ind w:left="2"/>
        <w:spacing w:after="0"/>
        <w:rPr>
          <w:sz w:val="20"/>
          <w:szCs w:val="20"/>
          <w:color w:val="auto"/>
        </w:rPr>
      </w:pPr>
      <w:r>
        <w:rPr>
          <w:rFonts w:ascii="Calibri" w:cs="Calibri" w:eastAsia="Calibri" w:hAnsi="Calibri"/>
          <w:sz w:val="20"/>
          <w:szCs w:val="20"/>
          <w:color w:val="auto"/>
        </w:rPr>
        <w:t>Les offres sont à rédiger en français uniquement et doivent impérativement comporter :</w:t>
      </w:r>
    </w:p>
    <w:p>
      <w:pPr>
        <w:spacing w:after="0" w:line="34" w:lineRule="exact"/>
        <w:rPr>
          <w:sz w:val="20"/>
          <w:szCs w:val="20"/>
          <w:color w:val="auto"/>
        </w:rPr>
      </w:pPr>
    </w:p>
    <w:p>
      <w:pPr>
        <w:ind w:left="362" w:hanging="362"/>
        <w:spacing w:after="0"/>
        <w:tabs>
          <w:tab w:leader="none" w:pos="362" w:val="left"/>
        </w:tabs>
        <w:numPr>
          <w:ilvl w:val="0"/>
          <w:numId w:val="8"/>
        </w:numPr>
        <w:rPr>
          <w:rFonts w:ascii="Calibri" w:cs="Calibri" w:eastAsia="Calibri" w:hAnsi="Calibri"/>
          <w:sz w:val="20"/>
          <w:szCs w:val="20"/>
          <w:color w:val="auto"/>
        </w:rPr>
      </w:pPr>
      <w:r>
        <w:rPr>
          <w:rFonts w:ascii="Calibri" w:cs="Calibri" w:eastAsia="Calibri" w:hAnsi="Calibri"/>
          <w:sz w:val="20"/>
          <w:szCs w:val="20"/>
          <w:color w:val="auto"/>
        </w:rPr>
        <w:t>Un CV à jour (4 pages maximum) ;</w:t>
      </w:r>
    </w:p>
    <w:p>
      <w:pPr>
        <w:spacing w:after="0" w:line="39" w:lineRule="exact"/>
        <w:rPr>
          <w:rFonts w:ascii="Calibri" w:cs="Calibri" w:eastAsia="Calibri" w:hAnsi="Calibri"/>
          <w:sz w:val="20"/>
          <w:szCs w:val="20"/>
          <w:color w:val="auto"/>
        </w:rPr>
      </w:pPr>
    </w:p>
    <w:p>
      <w:pPr>
        <w:ind w:left="362" w:hanging="362"/>
        <w:spacing w:after="0" w:line="276" w:lineRule="auto"/>
        <w:tabs>
          <w:tab w:leader="none" w:pos="362" w:val="left"/>
        </w:tabs>
        <w:numPr>
          <w:ilvl w:val="0"/>
          <w:numId w:val="8"/>
        </w:numPr>
        <w:rPr>
          <w:rFonts w:ascii="Calibri" w:cs="Calibri" w:eastAsia="Calibri" w:hAnsi="Calibri"/>
          <w:sz w:val="20"/>
          <w:szCs w:val="20"/>
          <w:color w:val="auto"/>
        </w:rPr>
      </w:pPr>
      <w:r>
        <w:rPr>
          <w:rFonts w:ascii="Calibri" w:cs="Calibri" w:eastAsia="Calibri" w:hAnsi="Calibri"/>
          <w:sz w:val="20"/>
          <w:szCs w:val="20"/>
          <w:color w:val="auto"/>
        </w:rPr>
        <w:t>Une offre technique (3 pages maximum) comportant les informations nécessaires en lien avec les présents termes de référence et une description de la démarche méthodologique proposée ;</w:t>
      </w:r>
    </w:p>
    <w:p>
      <w:pPr>
        <w:ind w:left="362" w:hanging="362"/>
        <w:spacing w:after="0" w:line="297" w:lineRule="auto"/>
        <w:tabs>
          <w:tab w:leader="none" w:pos="362" w:val="left"/>
        </w:tabs>
        <w:numPr>
          <w:ilvl w:val="0"/>
          <w:numId w:val="8"/>
        </w:numPr>
        <w:rPr>
          <w:rFonts w:ascii="Calibri" w:cs="Calibri" w:eastAsia="Calibri" w:hAnsi="Calibri"/>
          <w:sz w:val="20"/>
          <w:szCs w:val="20"/>
          <w:color w:val="auto"/>
        </w:rPr>
      </w:pPr>
      <w:r>
        <w:rPr>
          <w:rFonts w:ascii="Calibri" w:cs="Calibri" w:eastAsia="Calibri" w:hAnsi="Calibri"/>
          <w:sz w:val="20"/>
          <w:szCs w:val="20"/>
          <w:color w:val="auto"/>
        </w:rPr>
        <w:t>Une offre financière indiquant l’objet de l’offre, le nombre de jours, le(s) forfait(s) journalier(s) proposé(s) hors éventuels frais de déplacement, le statut de l’entreprise individuelle ou sociétaire.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-85090</wp:posOffset>
            </wp:positionH>
            <wp:positionV relativeFrom="paragraph">
              <wp:posOffset>97155</wp:posOffset>
            </wp:positionV>
            <wp:extent cx="6343650" cy="10801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extLst>
                    </a:blip>
                    <a:srcRect/>
                    <a:stretch>
                      <a:fillRect/>
                    </a:stretch>
                  </pic:blipFill>
                  <pic:spPr bwMode="auto">
                    <a:xfrm>
                      <a:off x="0" y="0"/>
                      <a:ext cx="6343650" cy="1080135"/>
                    </a:xfrm>
                    <a:prstGeom prst="rect">
                      <a:avLst/>
                    </a:prstGeom>
                    <a:noFill/>
                  </pic:spPr>
                </pic:pic>
              </a:graphicData>
            </a:graphic>
          </wp:anchor>
        </w:drawing>
      </w:r>
    </w:p>
    <w:p>
      <w:pPr>
        <w:spacing w:after="0" w:line="166" w:lineRule="exact"/>
        <w:rPr>
          <w:sz w:val="20"/>
          <w:szCs w:val="20"/>
          <w:color w:val="auto"/>
        </w:rPr>
      </w:pPr>
    </w:p>
    <w:p>
      <w:pPr>
        <w:jc w:val="center"/>
        <w:ind w:right="-1"/>
        <w:spacing w:after="0" w:line="292" w:lineRule="auto"/>
        <w:rPr>
          <w:sz w:val="20"/>
          <w:szCs w:val="20"/>
          <w:color w:val="auto"/>
        </w:rPr>
      </w:pPr>
      <w:r>
        <w:rPr>
          <w:rFonts w:ascii="Calibri" w:cs="Calibri" w:eastAsia="Calibri" w:hAnsi="Calibri"/>
          <w:sz w:val="20"/>
          <w:szCs w:val="20"/>
          <w:b w:val="1"/>
          <w:bCs w:val="1"/>
          <w:color w:val="auto"/>
        </w:rPr>
        <w:t xml:space="preserve">Les offres doivent être soumises au plus tard le 26/03/2023 à 23h59 (heure de Paris) par mail aux adresses suivantes : </w:t>
      </w:r>
      <w:r>
        <w:rPr>
          <w:rFonts w:ascii="Calibri" w:cs="Calibri" w:eastAsia="Calibri" w:hAnsi="Calibri"/>
          <w:sz w:val="20"/>
          <w:szCs w:val="20"/>
          <w:b w:val="1"/>
          <w:bCs w:val="1"/>
          <w:u w:val="single" w:color="auto"/>
          <w:color w:val="0000FF"/>
        </w:rPr>
        <w:t>salome.sabattini@cfi.fr</w:t>
      </w:r>
      <w:r>
        <w:rPr>
          <w:rFonts w:ascii="Calibri" w:cs="Calibri" w:eastAsia="Calibri" w:hAnsi="Calibri"/>
          <w:sz w:val="20"/>
          <w:szCs w:val="20"/>
          <w:b w:val="1"/>
          <w:bCs w:val="1"/>
          <w:color w:val="auto"/>
        </w:rPr>
        <w:t xml:space="preserve"> ; </w:t>
      </w:r>
      <w:r>
        <w:rPr>
          <w:rFonts w:ascii="Calibri" w:cs="Calibri" w:eastAsia="Calibri" w:hAnsi="Calibri"/>
          <w:sz w:val="20"/>
          <w:szCs w:val="20"/>
          <w:b w:val="1"/>
          <w:bCs w:val="1"/>
          <w:u w:val="single" w:color="auto"/>
          <w:color w:val="0000FF"/>
        </w:rPr>
        <w:t>laurence.burckel@cfi.fr</w:t>
      </w:r>
      <w:r>
        <w:rPr>
          <w:rFonts w:ascii="Calibri" w:cs="Calibri" w:eastAsia="Calibri" w:hAnsi="Calibri"/>
          <w:sz w:val="20"/>
          <w:szCs w:val="20"/>
          <w:b w:val="1"/>
          <w:bCs w:val="1"/>
          <w:color w:val="auto"/>
        </w:rPr>
        <w:t xml:space="preserve"> avec impérativement en objet « Étude numérique / Burkina Faso »</w:t>
      </w:r>
    </w:p>
    <w:p>
      <w:pPr>
        <w:spacing w:after="0" w:line="153" w:lineRule="exact"/>
        <w:rPr>
          <w:sz w:val="20"/>
          <w:szCs w:val="20"/>
          <w:color w:val="auto"/>
        </w:rPr>
      </w:pPr>
    </w:p>
    <w:p>
      <w:pPr>
        <w:jc w:val="center"/>
        <w:ind w:right="-1"/>
        <w:spacing w:after="0"/>
        <w:rPr>
          <w:sz w:val="20"/>
          <w:szCs w:val="20"/>
          <w:color w:val="auto"/>
        </w:rPr>
      </w:pPr>
      <w:r>
        <w:rPr>
          <w:rFonts w:ascii="Calibri" w:cs="Calibri" w:eastAsia="Calibri" w:hAnsi="Calibri"/>
          <w:sz w:val="20"/>
          <w:szCs w:val="20"/>
          <w:i w:val="1"/>
          <w:iCs w:val="1"/>
          <w:color w:val="auto"/>
        </w:rPr>
        <w:t>Pour tout complément d’informations, vous pouvez vous adresser,</w:t>
      </w:r>
    </w:p>
    <w:p>
      <w:pPr>
        <w:spacing w:after="0" w:line="34" w:lineRule="exact"/>
        <w:rPr>
          <w:sz w:val="20"/>
          <w:szCs w:val="20"/>
          <w:color w:val="auto"/>
        </w:rPr>
      </w:pPr>
    </w:p>
    <w:p>
      <w:pPr>
        <w:jc w:val="center"/>
        <w:ind w:right="-1"/>
        <w:spacing w:after="0"/>
        <w:rPr>
          <w:sz w:val="20"/>
          <w:szCs w:val="20"/>
          <w:color w:val="auto"/>
        </w:rPr>
      </w:pPr>
      <w:r>
        <w:rPr>
          <w:rFonts w:ascii="Calibri" w:cs="Calibri" w:eastAsia="Calibri" w:hAnsi="Calibri"/>
          <w:sz w:val="20"/>
          <w:szCs w:val="20"/>
          <w:i w:val="1"/>
          <w:iCs w:val="1"/>
          <w:color w:val="auto"/>
        </w:rPr>
        <w:t>avant le 22 mars 2023, aux adresses indiquées ci-dessous.</w:t>
      </w:r>
    </w:p>
    <w:sectPr>
      <w:pgSz w:w="12240" w:h="15840" w:orient="portrait"/>
      <w:cols w:equalWidth="0" w:num="1">
        <w:col w:w="9722"/>
      </w:cols>
      <w:pgMar w:left="1258" w:top="1349" w:right="1260" w:bottom="991"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238E1F29"/>
    <w:multiLevelType w:val="hybridMultilevel"/>
    <w:lvl w:ilvl="0">
      <w:lvlJc w:val="left"/>
      <w:lvlText w:val="à"/>
      <w:numFmt w:val="bullet"/>
      <w:start w:val="1"/>
    </w:lvl>
  </w:abstractNum>
  <w:abstractNum w:abstractNumId="1">
    <w:nsid w:val="46E87CCD"/>
    <w:multiLevelType w:val="hybridMultilevel"/>
    <w:lvl w:ilvl="0">
      <w:lvlJc w:val="left"/>
      <w:lvlText w:val="%1."/>
      <w:numFmt w:val="lowerRoman"/>
      <w:start w:val="1"/>
    </w:lvl>
  </w:abstractNum>
  <w:abstractNum w:abstractNumId="2">
    <w:nsid w:val="3D1B58BA"/>
    <w:multiLevelType w:val="hybridMultilevel"/>
    <w:lvl w:ilvl="0">
      <w:lvlJc w:val="left"/>
      <w:lvlText w:val="%1."/>
      <w:numFmt w:val="lowerRoman"/>
      <w:start w:val="1"/>
    </w:lvl>
    <w:lvl w:ilvl="1">
      <w:lvlJc w:val="left"/>
      <w:lvlText w:val="-"/>
      <w:numFmt w:val="bullet"/>
      <w:start w:val="1"/>
    </w:lvl>
  </w:abstractNum>
  <w:abstractNum w:abstractNumId="3">
    <w:nsid w:val="507ED7AB"/>
    <w:multiLevelType w:val="hybridMultilevel"/>
    <w:lvl w:ilvl="0">
      <w:lvlJc w:val="left"/>
      <w:lvlText w:val="•"/>
      <w:numFmt w:val="bullet"/>
      <w:start w:val="1"/>
    </w:lvl>
  </w:abstractNum>
  <w:abstractNum w:abstractNumId="4">
    <w:nsid w:val="2EB141F2"/>
    <w:multiLevelType w:val="hybridMultilevel"/>
    <w:lvl w:ilvl="0">
      <w:lvlJc w:val="left"/>
      <w:lvlText w:val="•"/>
      <w:numFmt w:val="bullet"/>
      <w:start w:val="1"/>
    </w:lvl>
  </w:abstractNum>
  <w:abstractNum w:abstractNumId="5">
    <w:nsid w:val="41B71EFB"/>
    <w:multiLevelType w:val="hybridMultilevel"/>
    <w:lvl w:ilvl="0">
      <w:lvlJc w:val="left"/>
      <w:lvlText w:val="-"/>
      <w:numFmt w:val="bullet"/>
      <w:start w:val="1"/>
    </w:lvl>
  </w:abstractNum>
  <w:abstractNum w:abstractNumId="6">
    <w:nsid w:val="79E2A9E3"/>
    <w:multiLevelType w:val="hybridMultilevel"/>
    <w:lvl w:ilvl="0">
      <w:lvlJc w:val="left"/>
      <w:lvlText w:val="%1."/>
      <w:numFmt w:val="decimal"/>
      <w:start w:val="6"/>
    </w:lvl>
    <w:lvl w:ilvl="1">
      <w:lvlJc w:val="left"/>
      <w:lvlText w:val="-"/>
      <w:numFmt w:val="bullet"/>
      <w:start w:val="1"/>
    </w:lvl>
  </w:abstractNum>
  <w:abstractNum w:abstractNumId="7">
    <w:nsid w:val="7545E146"/>
    <w:multiLevelType w:val="hybridMultilevel"/>
    <w:lvl w:ilvl="0">
      <w:lvlJc w:val="left"/>
      <w:lvlText w:val="-"/>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2026-09-04T10:23:00Z</dcterms:created>
  <dcterms:modified xsi:type="dcterms:W3CDTF">2026-09-04T10:23:00Z</dcterms:modified>
</cp:coreProperties>
</file>