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center"/>
        <w:ind w:right="6"/>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1</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4672330</wp:posOffset>
            </wp:positionH>
            <wp:positionV relativeFrom="paragraph">
              <wp:posOffset>330200</wp:posOffset>
            </wp:positionV>
            <wp:extent cx="1164590" cy="5549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1164590" cy="554990"/>
                    </a:xfrm>
                    <a:prstGeom prst="rect">
                      <a:avLst/>
                    </a:prstGeom>
                    <a:noFill/>
                  </pic:spPr>
                </pic:pic>
              </a:graphicData>
            </a:graphic>
          </wp:anchor>
        </w:drawing>
        <w:drawing>
          <wp:anchor simplePos="0" relativeHeight="251657728" behindDoc="1" locked="0" layoutInCell="0" allowOverlap="1">
            <wp:simplePos x="0" y="0"/>
            <wp:positionH relativeFrom="column">
              <wp:posOffset>179705</wp:posOffset>
            </wp:positionH>
            <wp:positionV relativeFrom="paragraph">
              <wp:posOffset>3652520</wp:posOffset>
            </wp:positionV>
            <wp:extent cx="5452110" cy="7759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5452110" cy="77597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3" w:lineRule="exact"/>
        <w:rPr>
          <w:sz w:val="24"/>
          <w:szCs w:val="24"/>
          <w:color w:val="auto"/>
        </w:rPr>
      </w:pPr>
    </w:p>
    <w:p>
      <w:pPr>
        <w:jc w:val="center"/>
        <w:ind w:right="-113"/>
        <w:spacing w:after="0" w:line="267" w:lineRule="auto"/>
        <w:rPr>
          <w:sz w:val="20"/>
          <w:szCs w:val="20"/>
          <w:color w:val="auto"/>
        </w:rPr>
      </w:pPr>
      <w:r>
        <w:rPr>
          <w:rFonts w:ascii="Times New Roman" w:cs="Times New Roman" w:eastAsia="Times New Roman" w:hAnsi="Times New Roman"/>
          <w:sz w:val="31"/>
          <w:szCs w:val="31"/>
          <w:b w:val="1"/>
          <w:bCs w:val="1"/>
          <w:color w:val="002060"/>
        </w:rPr>
        <w:t>Termes de références pour la réalisation d’une étude sur les violences basées sur le genre dans le contexte humanitaire</w:t>
      </w:r>
    </w:p>
    <w:p>
      <w:pPr>
        <w:sectPr>
          <w:pgSz w:w="11900" w:h="16838" w:orient="portrait"/>
          <w:cols w:equalWidth="0" w:num="1">
            <w:col w:w="9026"/>
          </w:cols>
          <w:pgMar w:left="1440" w:top="412" w:right="1440" w:bottom="1440" w:gutter="0" w:footer="0" w:header="0"/>
        </w:sectPr>
      </w:pPr>
    </w:p>
    <w:bookmarkStart w:id="1" w:name="page2"/>
    <w:bookmarkEnd w:id="1"/>
    <w:p>
      <w:pPr>
        <w:jc w:val="center"/>
        <w:ind w:right="-2"/>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2</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002060"/>
        </w:rPr>
        <w:t>1. Contexte</w:t>
      </w:r>
    </w:p>
    <w:p>
      <w:pPr>
        <w:spacing w:after="0" w:line="168" w:lineRule="exact"/>
        <w:rPr>
          <w:sz w:val="20"/>
          <w:szCs w:val="20"/>
          <w:color w:val="auto"/>
        </w:rPr>
      </w:pPr>
    </w:p>
    <w:p>
      <w:pPr>
        <w:jc w:val="both"/>
        <w:ind w:left="3"/>
        <w:spacing w:after="0" w:line="285" w:lineRule="auto"/>
        <w:rPr>
          <w:sz w:val="20"/>
          <w:szCs w:val="20"/>
          <w:color w:val="auto"/>
        </w:rPr>
      </w:pPr>
      <w:r>
        <w:rPr>
          <w:rFonts w:ascii="Times New Roman" w:cs="Times New Roman" w:eastAsia="Times New Roman" w:hAnsi="Times New Roman"/>
          <w:sz w:val="23"/>
          <w:szCs w:val="23"/>
          <w:color w:val="auto"/>
        </w:rPr>
        <w:t>Depuis 2015, le Burkina Faso fait face à des défis sécuritaires et humanitaires. Initialement localisée dans les régions du Sahel et du Nord, l’insécurité s’est propagée et touche désormais plusieurs régions du pays. Cette crise engendre des dégâts matériels, un sentiment de peur généralisé parmi la population, le fonctionnement intermittent voire fermeture des services publics (écoles, centres de santé, services administratifs…) et l’escalade de la violence ayant entrainé le déplacement forcé de populations. Le nombre de personnes déplacées internes est estimé à environ</w:t>
      </w:r>
    </w:p>
    <w:p>
      <w:pPr>
        <w:spacing w:after="0" w:line="1" w:lineRule="exact"/>
        <w:rPr>
          <w:sz w:val="20"/>
          <w:szCs w:val="20"/>
          <w:color w:val="auto"/>
        </w:rPr>
      </w:pPr>
    </w:p>
    <w:p>
      <w:pPr>
        <w:jc w:val="both"/>
        <w:ind w:left="3" w:hanging="3"/>
        <w:spacing w:after="0" w:line="250" w:lineRule="auto"/>
        <w:tabs>
          <w:tab w:leader="none" w:pos="214"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1.902.150 </w:t>
      </w:r>
      <w:r>
        <w:rPr>
          <w:rFonts w:ascii="Times New Roman" w:cs="Times New Roman" w:eastAsia="Times New Roman" w:hAnsi="Times New Roman"/>
          <w:sz w:val="32"/>
          <w:szCs w:val="32"/>
          <w:color w:val="auto"/>
          <w:vertAlign w:val="superscript"/>
        </w:rPr>
        <w:t>1</w:t>
      </w:r>
      <w:r>
        <w:rPr>
          <w:rFonts w:ascii="Times New Roman" w:cs="Times New Roman" w:eastAsia="Times New Roman" w:hAnsi="Times New Roman"/>
          <w:sz w:val="24"/>
          <w:szCs w:val="24"/>
          <w:color w:val="auto"/>
        </w:rPr>
        <w:t xml:space="preserve"> (CONASUR, Avril 2022). Cette situation, en plus des conséquences ci-dessus mentionnées a également engendré une grave crise de protection tant dans les localités de départ que dans les localités d’accueils, mettant selon le plan de réponse humanitaire 2022 environ 3,5 millions de personnes dans un besoin humanitaire.</w:t>
      </w:r>
    </w:p>
    <w:p>
      <w:pPr>
        <w:spacing w:after="0" w:line="164" w:lineRule="exact"/>
        <w:rPr>
          <w:sz w:val="20"/>
          <w:szCs w:val="20"/>
          <w:color w:val="auto"/>
        </w:rPr>
      </w:pPr>
    </w:p>
    <w:p>
      <w:pPr>
        <w:jc w:val="both"/>
        <w:ind w:left="3"/>
        <w:spacing w:after="0" w:line="274" w:lineRule="auto"/>
        <w:rPr>
          <w:sz w:val="20"/>
          <w:szCs w:val="20"/>
          <w:color w:val="auto"/>
        </w:rPr>
      </w:pPr>
      <w:r>
        <w:rPr>
          <w:rFonts w:ascii="Times New Roman" w:cs="Times New Roman" w:eastAsia="Times New Roman" w:hAnsi="Times New Roman"/>
          <w:sz w:val="24"/>
          <w:szCs w:val="24"/>
          <w:color w:val="auto"/>
        </w:rPr>
        <w:t>En effet, avec le déplacement forcé des populations, on assiste à un affaiblissement voire la disparition des structures traditionnelles de protection et d’un bouleversement des rôles traditionnels du genre affectant tant les hommes que les femmes. Toutefois, en raison des inégalités de genre et du manque de structures et de normes pour les protéger, les femmes et les filles sont souvent plus vulnérables et souffrent davantage des nombreuses conséquences néfastes de la violence. Nombreuses d’entre elles par la force des choses se retrouvent être des chefs de famille et donc les principaux soutiens de leur famille. Ce nouveau rôle les expose à des risques et des vulnérabilités divers. Les rôles traditionnels des hommes et des femmes ont changé en raison des déplacements à grande échelle, de la séparation des familles et de la crise économique (chômage). Dans d'autres ménages, les hommes sont présents, mais peinent à trouver un emploi ou d'autres sources financières pour subvenir aux besoins de leur famille. Les femmes et les filles sont donc contraintes de travailler.</w:t>
      </w:r>
    </w:p>
    <w:p>
      <w:pPr>
        <w:spacing w:after="0" w:line="148" w:lineRule="exact"/>
        <w:rPr>
          <w:sz w:val="20"/>
          <w:szCs w:val="20"/>
          <w:color w:val="auto"/>
        </w:rPr>
      </w:pPr>
    </w:p>
    <w:p>
      <w:pPr>
        <w:jc w:val="both"/>
        <w:ind w:left="3"/>
        <w:spacing w:after="0" w:line="266" w:lineRule="auto"/>
        <w:rPr>
          <w:sz w:val="20"/>
          <w:szCs w:val="20"/>
          <w:color w:val="auto"/>
        </w:rPr>
      </w:pPr>
      <w:r>
        <w:rPr>
          <w:rFonts w:ascii="Times New Roman" w:cs="Times New Roman" w:eastAsia="Times New Roman" w:hAnsi="Times New Roman"/>
          <w:sz w:val="24"/>
          <w:szCs w:val="24"/>
          <w:color w:val="auto"/>
        </w:rPr>
        <w:t xml:space="preserve">En mars 2021, soit un an après le début de l’épidémie de la COVID-19 au Burkina Faso, le nombre de personnes en insécurité alimentaire de phase 3 et plus, avait augmenté de 29% et s’établissait à 2 076 319, contre 1 606 480 en mars 2020 </w:t>
      </w:r>
      <w:r>
        <w:rPr>
          <w:rFonts w:ascii="Times New Roman" w:cs="Times New Roman" w:eastAsia="Times New Roman" w:hAnsi="Times New Roman"/>
          <w:sz w:val="32"/>
          <w:szCs w:val="32"/>
          <w:color w:val="auto"/>
          <w:vertAlign w:val="superscript"/>
        </w:rPr>
        <w:t>2</w:t>
      </w:r>
      <w:r>
        <w:rPr>
          <w:rFonts w:ascii="Times New Roman" w:cs="Times New Roman" w:eastAsia="Times New Roman" w:hAnsi="Times New Roman"/>
          <w:sz w:val="24"/>
          <w:szCs w:val="24"/>
          <w:color w:val="auto"/>
        </w:rPr>
        <w:t>. Cette situation due à une insuffisance des stocks alimentaires liée entre autres aux mesures de restrictions de certaines activités culturales, a des conséquences sur le plan alimentaire et pourrait aggraver la dépendance des populations vis-à-vis de l’aide humanitaire et accroître la vulnérabilité des filles et des femmes. Les mesures de riposte contre la COVID-19 ont contraint les populations des zones les plus touchées à rester chez elles, ce qui a exacerbé les cas des violences basées sur le genre (VBG) et spécifiquement les violences conjugales, notamment envers les femmes ; la pression financière et la perte de revenus causées par l’impact économique de la COVID-19 ont accentué les abus et la maltraitance contre les enfants qui sont aussi victimes du mariage précoce.</w:t>
      </w:r>
    </w:p>
    <w:p>
      <w:pPr>
        <w:spacing w:after="0" w:line="144" w:lineRule="exact"/>
        <w:rPr>
          <w:sz w:val="20"/>
          <w:szCs w:val="20"/>
          <w:color w:val="auto"/>
        </w:rPr>
      </w:pPr>
    </w:p>
    <w:p>
      <w:pPr>
        <w:jc w:val="both"/>
        <w:ind w:left="3"/>
        <w:spacing w:after="0" w:line="287" w:lineRule="auto"/>
        <w:rPr>
          <w:sz w:val="20"/>
          <w:szCs w:val="20"/>
          <w:color w:val="auto"/>
        </w:rPr>
      </w:pPr>
      <w:r>
        <w:rPr>
          <w:rFonts w:ascii="Times New Roman" w:cs="Times New Roman" w:eastAsia="Times New Roman" w:hAnsi="Times New Roman"/>
          <w:sz w:val="23"/>
          <w:szCs w:val="23"/>
          <w:color w:val="auto"/>
        </w:rPr>
        <w:t>Cette dégradation ascendante des conditions de vie et sécuritaire accentue aussi de manière significative les risques d’exposition des populations et particulièrement les femmes et filles aux différents types des violences basées sur le genre. Pour lutter non seulement contre ce phénomène mais aussi et surtout apporter une réponse appropriée aux survivant-e-s du phénomène, le Gouvernement avec l’appui des agences des Nations Unies et des organisations de la Société Civile ont mis en œuvre différentes actions à l’endroit des populations affectées. Dans la perspective d’un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0</wp:posOffset>
                </wp:positionH>
                <wp:positionV relativeFrom="paragraph">
                  <wp:posOffset>234950</wp:posOffset>
                </wp:positionV>
                <wp:extent cx="1828800"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2880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8.5pt" to="144pt,18.5pt" o:allowincell="f" strokecolor="#000000" strokeweight="0.72pt"/>
            </w:pict>
          </mc:Fallback>
        </mc:AlternateContent>
      </w:r>
    </w:p>
    <w:p>
      <w:pPr>
        <w:spacing w:after="0" w:line="362" w:lineRule="exact"/>
        <w:rPr>
          <w:sz w:val="20"/>
          <w:szCs w:val="20"/>
          <w:color w:val="auto"/>
        </w:rPr>
      </w:pPr>
    </w:p>
    <w:p>
      <w:pPr>
        <w:ind w:left="103" w:hanging="103"/>
        <w:spacing w:after="0"/>
        <w:tabs>
          <w:tab w:leader="none" w:pos="103" w:val="left"/>
        </w:tabs>
        <w:numPr>
          <w:ilvl w:val="0"/>
          <w:numId w:val="2"/>
        </w:numPr>
        <w:rPr>
          <w:rFonts w:ascii="Calibri" w:cs="Calibri" w:eastAsia="Calibri" w:hAnsi="Calibri"/>
          <w:sz w:val="26"/>
          <w:szCs w:val="26"/>
          <w:color w:val="auto"/>
          <w:vertAlign w:val="superscript"/>
        </w:rPr>
      </w:pPr>
      <w:r>
        <w:rPr>
          <w:rFonts w:ascii="Arial Narrow" w:cs="Arial Narrow" w:eastAsia="Arial Narrow" w:hAnsi="Arial Narrow"/>
          <w:sz w:val="14"/>
          <w:szCs w:val="14"/>
          <w:color w:val="auto"/>
        </w:rPr>
        <w:t>CONASUR du 30 avril 2022</w:t>
      </w:r>
    </w:p>
    <w:p>
      <w:pPr>
        <w:spacing w:after="0" w:line="80" w:lineRule="exact"/>
        <w:rPr>
          <w:rFonts w:ascii="Calibri" w:cs="Calibri" w:eastAsia="Calibri" w:hAnsi="Calibri"/>
          <w:sz w:val="26"/>
          <w:szCs w:val="26"/>
          <w:color w:val="auto"/>
          <w:vertAlign w:val="superscript"/>
        </w:rPr>
      </w:pPr>
    </w:p>
    <w:p>
      <w:pPr>
        <w:ind w:left="103" w:hanging="103"/>
        <w:spacing w:after="0" w:line="190" w:lineRule="auto"/>
        <w:tabs>
          <w:tab w:leader="none" w:pos="103" w:val="left"/>
        </w:tabs>
        <w:numPr>
          <w:ilvl w:val="0"/>
          <w:numId w:val="2"/>
        </w:numPr>
        <w:rPr>
          <w:rFonts w:ascii="Calibri" w:cs="Calibri" w:eastAsia="Calibri" w:hAnsi="Calibri"/>
          <w:sz w:val="17"/>
          <w:szCs w:val="17"/>
          <w:color w:val="auto"/>
          <w:vertAlign w:val="superscript"/>
        </w:rPr>
      </w:pPr>
      <w:r>
        <w:rPr>
          <w:rFonts w:ascii="Arial Narrow" w:cs="Arial Narrow" w:eastAsia="Arial Narrow" w:hAnsi="Arial Narrow"/>
          <w:sz w:val="10"/>
          <w:szCs w:val="10"/>
          <w:color w:val="auto"/>
        </w:rPr>
        <w:t>iMMAP, Rapport Annuel – Analyse Sectorielle – Mars 2020 – Juillet 2021 (BFA_SitAn_COVID-19_Annuel Report 1)</w:t>
      </w:r>
    </w:p>
    <w:p>
      <w:pPr>
        <w:sectPr>
          <w:pgSz w:w="11900" w:h="16838" w:orient="portrait"/>
          <w:cols w:equalWidth="0" w:num="1">
            <w:col w:w="9363"/>
          </w:cols>
          <w:pgMar w:left="1277" w:top="412" w:right="1266" w:bottom="593" w:gutter="0" w:footer="0" w:header="0"/>
        </w:sectPr>
      </w:pPr>
    </w:p>
    <w:bookmarkStart w:id="2" w:name="page3"/>
    <w:bookmarkEnd w:id="2"/>
    <w:p>
      <w:pPr>
        <w:jc w:val="center"/>
        <w:ind w:right="-2"/>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3</w:t>
      </w:r>
    </w:p>
    <w:p>
      <w:pPr>
        <w:spacing w:after="0" w:line="200" w:lineRule="exact"/>
        <w:rPr>
          <w:sz w:val="20"/>
          <w:szCs w:val="20"/>
          <w:color w:val="auto"/>
        </w:rPr>
      </w:pPr>
    </w:p>
    <w:p>
      <w:pPr>
        <w:spacing w:after="0" w:line="203" w:lineRule="exact"/>
        <w:rPr>
          <w:sz w:val="20"/>
          <w:szCs w:val="20"/>
          <w:color w:val="auto"/>
        </w:rPr>
      </w:pPr>
    </w:p>
    <w:p>
      <w:pPr>
        <w:jc w:val="both"/>
        <w:ind w:left="3"/>
        <w:spacing w:after="0" w:line="271" w:lineRule="auto"/>
        <w:rPr>
          <w:sz w:val="20"/>
          <w:szCs w:val="20"/>
          <w:color w:val="auto"/>
        </w:rPr>
      </w:pPr>
      <w:r>
        <w:rPr>
          <w:rFonts w:ascii="Times New Roman" w:cs="Times New Roman" w:eastAsia="Times New Roman" w:hAnsi="Times New Roman"/>
          <w:sz w:val="24"/>
          <w:szCs w:val="24"/>
          <w:color w:val="auto"/>
        </w:rPr>
        <w:t>renforcement et d’une meilleure orientation de la réponse humanitaire, l’UNFPA souhaiterait conduire une étude sur les violences basées sur genre, y compris la perception des populations sur le phénomène au Burkina Faso.</w:t>
      </w:r>
    </w:p>
    <w:p>
      <w:pPr>
        <w:spacing w:after="0" w:line="131"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002060"/>
        </w:rPr>
        <w:t>2. Objectifs et champ de l’étude</w:t>
      </w:r>
    </w:p>
    <w:p>
      <w:pPr>
        <w:spacing w:after="0" w:line="161"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002060"/>
        </w:rPr>
        <w:t>2.1 Objectifs de l’étude</w:t>
      </w:r>
    </w:p>
    <w:p>
      <w:pPr>
        <w:spacing w:after="0" w:line="171" w:lineRule="exact"/>
        <w:rPr>
          <w:sz w:val="20"/>
          <w:szCs w:val="20"/>
          <w:color w:val="auto"/>
        </w:rPr>
      </w:pPr>
    </w:p>
    <w:p>
      <w:pPr>
        <w:jc w:val="both"/>
        <w:ind w:left="3"/>
        <w:spacing w:after="0" w:line="273" w:lineRule="auto"/>
        <w:rPr>
          <w:sz w:val="20"/>
          <w:szCs w:val="20"/>
          <w:color w:val="auto"/>
        </w:rPr>
      </w:pPr>
      <w:r>
        <w:rPr>
          <w:rFonts w:ascii="Times New Roman" w:cs="Times New Roman" w:eastAsia="Times New Roman" w:hAnsi="Times New Roman"/>
          <w:sz w:val="24"/>
          <w:szCs w:val="24"/>
          <w:color w:val="auto"/>
        </w:rPr>
        <w:t>L’objectif principal de l’étude est de contribuer à une meilleure compréhension des violences basées sur le genre dans le contexte humanitaire dans les sept (7) régions les plus touchées par la crise sécuritaire au Burkina Faso que sont la Boucle du Mouhoun, les Cascades, le Centre-Est, le Centre-Nord, l’Est, le Nord et du Sahel pour une meilleure protection et prise en charge holistique des victimes de violence basée sur le genre.</w:t>
      </w:r>
    </w:p>
    <w:p>
      <w:pPr>
        <w:spacing w:after="0" w:line="125"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color w:val="auto"/>
        </w:rPr>
        <w:t>Plus spécifiquement, il s’agit de :</w:t>
      </w:r>
    </w:p>
    <w:p>
      <w:pPr>
        <w:spacing w:after="0" w:line="162" w:lineRule="exact"/>
        <w:rPr>
          <w:sz w:val="20"/>
          <w:szCs w:val="20"/>
          <w:color w:val="auto"/>
        </w:rPr>
      </w:pPr>
    </w:p>
    <w:p>
      <w:pPr>
        <w:ind w:left="723"/>
        <w:spacing w:after="0" w:line="266" w:lineRule="auto"/>
        <w:rPr>
          <w:sz w:val="20"/>
          <w:szCs w:val="20"/>
          <w:color w:val="auto"/>
        </w:rPr>
      </w:pPr>
      <w:r>
        <w:rPr>
          <w:rFonts w:ascii="Times New Roman" w:cs="Times New Roman" w:eastAsia="Times New Roman" w:hAnsi="Times New Roman"/>
          <w:sz w:val="24"/>
          <w:szCs w:val="24"/>
          <w:color w:val="auto"/>
        </w:rPr>
        <w:t>Déterminer la prévalence des VBG pratiquées dans les zones couvertes par l’étude et les auteurs présumés par types de VBG ;</w:t>
      </w:r>
    </w:p>
    <w:p>
      <w:pPr>
        <w:spacing w:after="0" w:line="41" w:lineRule="exact"/>
        <w:rPr>
          <w:sz w:val="20"/>
          <w:szCs w:val="20"/>
          <w:color w:val="auto"/>
        </w:rPr>
      </w:pPr>
    </w:p>
    <w:p>
      <w:pPr>
        <w:ind w:left="723"/>
        <w:spacing w:after="0" w:line="273" w:lineRule="auto"/>
        <w:rPr>
          <w:sz w:val="20"/>
          <w:szCs w:val="20"/>
          <w:color w:val="auto"/>
        </w:rPr>
      </w:pPr>
      <w:r>
        <w:rPr>
          <w:rFonts w:ascii="Times New Roman" w:cs="Times New Roman" w:eastAsia="Times New Roman" w:hAnsi="Times New Roman"/>
          <w:sz w:val="24"/>
          <w:szCs w:val="24"/>
          <w:color w:val="auto"/>
        </w:rPr>
        <w:t>Analyser le vécu et les expériences quotidiens des femmes et des filles en matière de VBG dans le contexte humanitaire; les effets concernant leurs droits civils (droit à la vie, d’être à l’abri de toute VBG, d’aller et de venir en toute liberté, etc.), leurs droits d'accès aux services de santé de la reproduction et de santé mentale de qualité répondant à leurs besoins réels ;</w:t>
      </w:r>
    </w:p>
    <w:p>
      <w:pPr>
        <w:spacing w:after="0" w:line="33" w:lineRule="exact"/>
        <w:rPr>
          <w:sz w:val="20"/>
          <w:szCs w:val="20"/>
          <w:color w:val="auto"/>
        </w:rPr>
      </w:pPr>
    </w:p>
    <w:p>
      <w:pPr>
        <w:ind w:left="723" w:right="20"/>
        <w:spacing w:after="0" w:line="266" w:lineRule="auto"/>
        <w:rPr>
          <w:sz w:val="20"/>
          <w:szCs w:val="20"/>
          <w:color w:val="auto"/>
        </w:rPr>
      </w:pPr>
      <w:r>
        <w:rPr>
          <w:rFonts w:ascii="Times New Roman" w:cs="Times New Roman" w:eastAsia="Times New Roman" w:hAnsi="Times New Roman"/>
          <w:sz w:val="24"/>
          <w:szCs w:val="24"/>
          <w:color w:val="auto"/>
        </w:rPr>
        <w:t>Appréhender les mesures de mitigations prises/stratégies développées par les femmes et les filles pour faire face aux VBG dans le contexte de l’insécurité ;</w:t>
      </w:r>
    </w:p>
    <w:p>
      <w:pPr>
        <w:spacing w:after="0" w:line="41" w:lineRule="exact"/>
        <w:rPr>
          <w:sz w:val="20"/>
          <w:szCs w:val="20"/>
          <w:color w:val="auto"/>
        </w:rPr>
      </w:pPr>
    </w:p>
    <w:p>
      <w:pPr>
        <w:ind w:left="723"/>
        <w:spacing w:after="0" w:line="264" w:lineRule="auto"/>
        <w:rPr>
          <w:sz w:val="20"/>
          <w:szCs w:val="20"/>
          <w:color w:val="auto"/>
        </w:rPr>
      </w:pPr>
      <w:r>
        <w:rPr>
          <w:rFonts w:ascii="Times New Roman" w:cs="Times New Roman" w:eastAsia="Times New Roman" w:hAnsi="Times New Roman"/>
          <w:sz w:val="24"/>
          <w:szCs w:val="24"/>
          <w:color w:val="auto"/>
        </w:rPr>
        <w:t>Analyser la disponibilité, la qualité, l’accessibilité des services de prise en charge des survivants de VBG ainsi que les défis associés ;</w:t>
      </w:r>
    </w:p>
    <w:p>
      <w:pPr>
        <w:spacing w:after="0" w:line="43" w:lineRule="exact"/>
        <w:rPr>
          <w:sz w:val="20"/>
          <w:szCs w:val="20"/>
          <w:color w:val="auto"/>
        </w:rPr>
      </w:pPr>
    </w:p>
    <w:p>
      <w:pPr>
        <w:ind w:left="723"/>
        <w:spacing w:after="0" w:line="266" w:lineRule="auto"/>
        <w:rPr>
          <w:sz w:val="20"/>
          <w:szCs w:val="20"/>
          <w:color w:val="auto"/>
        </w:rPr>
      </w:pPr>
      <w:r>
        <w:rPr>
          <w:rFonts w:ascii="Times New Roman" w:cs="Times New Roman" w:eastAsia="Times New Roman" w:hAnsi="Times New Roman"/>
          <w:sz w:val="24"/>
          <w:szCs w:val="24"/>
          <w:color w:val="auto"/>
        </w:rPr>
        <w:t>Formuler des recommandations et pistes d’intervention pertinentes pour assurer la protection et la prise en charge holistique des victimes de violence basée sur le genre.</w:t>
      </w:r>
    </w:p>
    <w:p>
      <w:pPr>
        <w:spacing w:after="0" w:line="361"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002060"/>
        </w:rPr>
        <w:t>2.2 Champ de l’étude</w:t>
      </w:r>
    </w:p>
    <w:p>
      <w:pPr>
        <w:spacing w:after="0" w:line="171" w:lineRule="exact"/>
        <w:rPr>
          <w:sz w:val="20"/>
          <w:szCs w:val="20"/>
          <w:color w:val="auto"/>
        </w:rPr>
      </w:pPr>
    </w:p>
    <w:p>
      <w:pPr>
        <w:jc w:val="both"/>
        <w:ind w:left="3"/>
        <w:spacing w:after="0" w:line="273" w:lineRule="auto"/>
        <w:rPr>
          <w:sz w:val="20"/>
          <w:szCs w:val="20"/>
          <w:color w:val="auto"/>
        </w:rPr>
      </w:pPr>
      <w:r>
        <w:rPr>
          <w:rFonts w:ascii="Times New Roman" w:cs="Times New Roman" w:eastAsia="Times New Roman" w:hAnsi="Times New Roman"/>
          <w:sz w:val="24"/>
          <w:szCs w:val="24"/>
          <w:color w:val="auto"/>
        </w:rPr>
        <w:t>Cette étude sera conduite dans sept (7) régions du Burkina Faso que sont la Boucle du Mouhoun, les Cascades, le Centre-Est, le Centre-Nord, l’Est, le Nord et le Sahel. Afin de dresser une situation respectueuse des spécificités des communautés, cette étude doit fournir des résultats désagrégés par région, milieu de résidence, sexe, et tranche d’âges et par statut matrimonial. Elle s’intéressera aussi bien aux populations hôtes que les populations affectées, aux acteurs nationaux, communautaires, internationaux qu’aux acteurs humanitaires.</w:t>
      </w:r>
    </w:p>
    <w:p>
      <w:pPr>
        <w:spacing w:after="0" w:line="133" w:lineRule="exact"/>
        <w:rPr>
          <w:sz w:val="20"/>
          <w:szCs w:val="20"/>
          <w:color w:val="auto"/>
        </w:rPr>
      </w:pPr>
    </w:p>
    <w:p>
      <w:pPr>
        <w:ind w:left="283" w:hanging="283"/>
        <w:spacing w:after="0"/>
        <w:tabs>
          <w:tab w:leader="none" w:pos="283" w:val="left"/>
        </w:tabs>
        <w:numPr>
          <w:ilvl w:val="0"/>
          <w:numId w:val="4"/>
        </w:numPr>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b w:val="1"/>
          <w:bCs w:val="1"/>
          <w:color w:val="002060"/>
        </w:rPr>
        <w:t>Résultats attendus</w:t>
      </w:r>
    </w:p>
    <w:p>
      <w:pPr>
        <w:spacing w:after="0" w:line="37" w:lineRule="exact"/>
        <w:rPr>
          <w:rFonts w:ascii="Times New Roman" w:cs="Times New Roman" w:eastAsia="Times New Roman" w:hAnsi="Times New Roman"/>
          <w:sz w:val="24"/>
          <w:szCs w:val="24"/>
          <w:b w:val="1"/>
          <w:bCs w:val="1"/>
          <w:color w:val="002060"/>
        </w:rPr>
      </w:pPr>
    </w:p>
    <w:p>
      <w:pPr>
        <w:ind w:left="723"/>
        <w:spacing w:after="0" w:line="266" w:lineRule="auto"/>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color w:val="auto"/>
        </w:rPr>
        <w:t>La prévalence des VBG pratiquées dans les zones couvertes par l’étude ainsi que les auteurs présumés par types de VBG sont connus;</w:t>
      </w:r>
    </w:p>
    <w:p>
      <w:pPr>
        <w:spacing w:after="0" w:line="41" w:lineRule="exact"/>
        <w:rPr>
          <w:rFonts w:ascii="Times New Roman" w:cs="Times New Roman" w:eastAsia="Times New Roman" w:hAnsi="Times New Roman"/>
          <w:sz w:val="24"/>
          <w:szCs w:val="24"/>
          <w:b w:val="1"/>
          <w:bCs w:val="1"/>
          <w:color w:val="002060"/>
        </w:rPr>
      </w:pPr>
    </w:p>
    <w:p>
      <w:pPr>
        <w:ind w:left="723"/>
        <w:spacing w:after="0" w:line="273" w:lineRule="auto"/>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color w:val="auto"/>
        </w:rPr>
        <w:t>Le vécu et les expériences quotidiens des femmes et des filles en matière de VBG dans le contexte humanitaire, les effets concernant leurs droits civils (droit à la vie, d’être à l’abri de toute VBG, d’aller et de venir en toute liberté, etc.), leurs droits d'accès aux services de santé de la reproduction et de santé mentale de qualité répondant à leurs besoins réels sont analysés;</w:t>
      </w:r>
    </w:p>
    <w:p>
      <w:pPr>
        <w:spacing w:after="0" w:line="33" w:lineRule="exact"/>
        <w:rPr>
          <w:rFonts w:ascii="Times New Roman" w:cs="Times New Roman" w:eastAsia="Times New Roman" w:hAnsi="Times New Roman"/>
          <w:sz w:val="24"/>
          <w:szCs w:val="24"/>
          <w:b w:val="1"/>
          <w:bCs w:val="1"/>
          <w:color w:val="002060"/>
        </w:rPr>
      </w:pPr>
    </w:p>
    <w:p>
      <w:pPr>
        <w:ind w:left="723"/>
        <w:spacing w:after="0" w:line="266" w:lineRule="auto"/>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color w:val="auto"/>
        </w:rPr>
        <w:t>Les mesures de mitigations prises/stratégies développées par les femmes et les filles pour faire face aux VBG dans le contexte de l’insécurité sont appréhendés;</w:t>
      </w:r>
    </w:p>
    <w:p>
      <w:pPr>
        <w:sectPr>
          <w:pgSz w:w="11900" w:h="16838" w:orient="portrait"/>
          <w:cols w:equalWidth="0" w:num="1">
            <w:col w:w="9363"/>
          </w:cols>
          <w:pgMar w:left="1277" w:top="412" w:right="1266" w:bottom="877" w:gutter="0" w:footer="0" w:header="0"/>
        </w:sectPr>
      </w:pPr>
    </w:p>
    <w:bookmarkStart w:id="3" w:name="page4"/>
    <w:bookmarkEnd w:id="3"/>
    <w:p>
      <w:pPr>
        <w:jc w:val="center"/>
        <w:ind w:right="-2"/>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4</w:t>
      </w:r>
    </w:p>
    <w:p>
      <w:pPr>
        <w:spacing w:after="0" w:line="392" w:lineRule="exact"/>
        <w:rPr>
          <w:sz w:val="20"/>
          <w:szCs w:val="20"/>
          <w:color w:val="auto"/>
        </w:rPr>
      </w:pPr>
    </w:p>
    <w:p>
      <w:pPr>
        <w:ind w:left="723" w:right="20"/>
        <w:spacing w:after="0" w:line="271" w:lineRule="auto"/>
        <w:rPr>
          <w:sz w:val="20"/>
          <w:szCs w:val="20"/>
          <w:color w:val="auto"/>
        </w:rPr>
      </w:pPr>
      <w:r>
        <w:rPr>
          <w:rFonts w:ascii="Times New Roman" w:cs="Times New Roman" w:eastAsia="Times New Roman" w:hAnsi="Times New Roman"/>
          <w:sz w:val="24"/>
          <w:szCs w:val="24"/>
          <w:color w:val="auto"/>
        </w:rPr>
        <w:t>La disponibilité, la qualité et l’accessibilité des services de prise en charge des survivants de VBG sont analysés, les défis associés identifiés et des solutions pour les relevés sont proposées;</w:t>
      </w:r>
    </w:p>
    <w:p>
      <w:pPr>
        <w:spacing w:after="0" w:line="354" w:lineRule="exact"/>
        <w:rPr>
          <w:sz w:val="20"/>
          <w:szCs w:val="20"/>
          <w:color w:val="auto"/>
        </w:rPr>
      </w:pPr>
    </w:p>
    <w:p>
      <w:pPr>
        <w:ind w:left="723"/>
        <w:spacing w:after="0" w:line="270" w:lineRule="auto"/>
        <w:rPr>
          <w:sz w:val="20"/>
          <w:szCs w:val="20"/>
          <w:color w:val="auto"/>
        </w:rPr>
      </w:pPr>
      <w:r>
        <w:rPr>
          <w:rFonts w:ascii="Times New Roman" w:cs="Times New Roman" w:eastAsia="Times New Roman" w:hAnsi="Times New Roman"/>
          <w:sz w:val="24"/>
          <w:szCs w:val="24"/>
          <w:color w:val="auto"/>
        </w:rPr>
        <w:t>Des recommandations pertinentes sont formulées et des pistes d’intervention sont proposées pour une meilleure protection et prise en charge holistique des victimes de violence basée sur le genre.</w:t>
      </w:r>
    </w:p>
    <w:p>
      <w:pPr>
        <w:spacing w:after="0" w:line="358" w:lineRule="exact"/>
        <w:rPr>
          <w:sz w:val="20"/>
          <w:szCs w:val="20"/>
          <w:color w:val="auto"/>
        </w:rPr>
      </w:pPr>
    </w:p>
    <w:p>
      <w:pPr>
        <w:ind w:left="283" w:hanging="283"/>
        <w:spacing w:after="0"/>
        <w:tabs>
          <w:tab w:leader="none" w:pos="283" w:val="left"/>
        </w:tabs>
        <w:numPr>
          <w:ilvl w:val="0"/>
          <w:numId w:val="5"/>
        </w:numPr>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b w:val="1"/>
          <w:bCs w:val="1"/>
          <w:color w:val="002060"/>
        </w:rPr>
        <w:t>Méthodologie de l’étude</w:t>
      </w:r>
    </w:p>
    <w:p>
      <w:pPr>
        <w:spacing w:after="0" w:line="168" w:lineRule="exact"/>
        <w:rPr>
          <w:sz w:val="20"/>
          <w:szCs w:val="20"/>
          <w:color w:val="auto"/>
        </w:rPr>
      </w:pPr>
    </w:p>
    <w:p>
      <w:pPr>
        <w:jc w:val="both"/>
        <w:ind w:left="3" w:right="20"/>
        <w:spacing w:after="0" w:line="273" w:lineRule="auto"/>
        <w:rPr>
          <w:sz w:val="20"/>
          <w:szCs w:val="20"/>
          <w:color w:val="auto"/>
        </w:rPr>
      </w:pPr>
      <w:r>
        <w:rPr>
          <w:rFonts w:ascii="Times New Roman" w:cs="Times New Roman" w:eastAsia="Times New Roman" w:hAnsi="Times New Roman"/>
          <w:sz w:val="24"/>
          <w:szCs w:val="24"/>
          <w:color w:val="auto"/>
        </w:rPr>
        <w:t>Le bureau d’études travaillera sous la supervision d’un comité de suivi qui facilitera l’accès à la documentation nécessaire et les contacts avec les structures et personnes ressources pour la conduite de l’étude. Les phases d’exécution de l'étude comprennent essentiellement une réunion de cadrage et un atelier de restitution des résultats. La réunion de cadrage aura lieu au début de la mission entre le bureau d’études et le comité de suivi.</w:t>
      </w:r>
    </w:p>
    <w:p>
      <w:pPr>
        <w:spacing w:after="0" w:line="137" w:lineRule="exact"/>
        <w:rPr>
          <w:sz w:val="20"/>
          <w:szCs w:val="20"/>
          <w:color w:val="auto"/>
        </w:rPr>
      </w:pPr>
    </w:p>
    <w:p>
      <w:pPr>
        <w:jc w:val="both"/>
        <w:ind w:left="3"/>
        <w:spacing w:after="0" w:line="271" w:lineRule="auto"/>
        <w:rPr>
          <w:sz w:val="20"/>
          <w:szCs w:val="20"/>
          <w:color w:val="auto"/>
        </w:rPr>
      </w:pPr>
      <w:r>
        <w:rPr>
          <w:rFonts w:ascii="Times New Roman" w:cs="Times New Roman" w:eastAsia="Times New Roman" w:hAnsi="Times New Roman"/>
          <w:sz w:val="24"/>
          <w:szCs w:val="24"/>
          <w:color w:val="auto"/>
        </w:rPr>
        <w:t>Le bureau d’études veillera au recrutement du personnel de terrain pour la collecte des données et pour leur traitement. En outre, il fournira au comité de suivi un rapport d’étape immédiatement à la fin de la collecte.</w:t>
      </w:r>
    </w:p>
    <w:p>
      <w:pPr>
        <w:spacing w:after="0" w:line="131" w:lineRule="exact"/>
        <w:rPr>
          <w:sz w:val="20"/>
          <w:szCs w:val="20"/>
          <w:color w:val="auto"/>
        </w:rPr>
      </w:pPr>
    </w:p>
    <w:p>
      <w:pPr>
        <w:ind w:left="3"/>
        <w:spacing w:after="0"/>
        <w:tabs>
          <w:tab w:leader="none" w:pos="262" w:val="left"/>
        </w:tabs>
        <w:rPr>
          <w:sz w:val="20"/>
          <w:szCs w:val="20"/>
          <w:color w:val="auto"/>
        </w:rPr>
      </w:pPr>
      <w:r>
        <w:rPr>
          <w:rFonts w:ascii="Times New Roman" w:cs="Times New Roman" w:eastAsia="Times New Roman" w:hAnsi="Times New Roman"/>
          <w:sz w:val="24"/>
          <w:szCs w:val="24"/>
          <w:b w:val="1"/>
          <w:bCs w:val="1"/>
          <w:color w:val="auto"/>
        </w:rPr>
        <w:t>3</w:t>
      </w:r>
      <w:r>
        <w:rPr>
          <w:sz w:val="20"/>
          <w:szCs w:val="20"/>
          <w:color w:val="auto"/>
        </w:rPr>
        <w:tab/>
      </w:r>
      <w:r>
        <w:rPr>
          <w:rFonts w:ascii="Times New Roman" w:cs="Times New Roman" w:eastAsia="Times New Roman" w:hAnsi="Times New Roman"/>
          <w:sz w:val="23"/>
          <w:szCs w:val="23"/>
          <w:b w:val="1"/>
          <w:bCs w:val="1"/>
          <w:color w:val="auto"/>
        </w:rPr>
        <w:t>Mandat du cabinet</w:t>
      </w:r>
    </w:p>
    <w:p>
      <w:pPr>
        <w:spacing w:after="0" w:line="168" w:lineRule="exact"/>
        <w:rPr>
          <w:sz w:val="20"/>
          <w:szCs w:val="20"/>
          <w:color w:val="auto"/>
        </w:rPr>
      </w:pPr>
    </w:p>
    <w:p>
      <w:pPr>
        <w:ind w:left="3" w:right="160"/>
        <w:spacing w:after="0" w:line="264" w:lineRule="auto"/>
        <w:rPr>
          <w:sz w:val="20"/>
          <w:szCs w:val="20"/>
          <w:color w:val="auto"/>
        </w:rPr>
      </w:pPr>
      <w:r>
        <w:rPr>
          <w:rFonts w:ascii="Times New Roman" w:cs="Times New Roman" w:eastAsia="Times New Roman" w:hAnsi="Times New Roman"/>
          <w:sz w:val="24"/>
          <w:szCs w:val="24"/>
          <w:color w:val="auto"/>
        </w:rPr>
        <w:t>L’étude sera menée par un cabinet ou un bureau d’étude qui sera sous la supervision directe l’UNFPA. Ainsi, les tâches assignées à ce bureau ou à ce cabinet d’étude incluront :</w:t>
      </w:r>
    </w:p>
    <w:p>
      <w:pPr>
        <w:spacing w:after="0" w:line="139" w:lineRule="exact"/>
        <w:rPr>
          <w:sz w:val="20"/>
          <w:szCs w:val="20"/>
          <w:color w:val="auto"/>
        </w:rPr>
      </w:pPr>
    </w:p>
    <w:p>
      <w:pPr>
        <w:ind w:left="723" w:right="20"/>
        <w:spacing w:after="0" w:line="264" w:lineRule="auto"/>
        <w:rPr>
          <w:sz w:val="20"/>
          <w:szCs w:val="20"/>
          <w:color w:val="auto"/>
        </w:rPr>
      </w:pPr>
      <w:r>
        <w:rPr>
          <w:rFonts w:ascii="Times New Roman" w:cs="Times New Roman" w:eastAsia="Times New Roman" w:hAnsi="Times New Roman"/>
          <w:sz w:val="24"/>
          <w:szCs w:val="24"/>
          <w:color w:val="auto"/>
        </w:rPr>
        <w:t>Elaborer un rapport de démarrage comprenant : une méthodologie détaillée de l’enquête, les outils de collecte des données et un plan précis de la réalisation de la mission ;</w:t>
      </w:r>
    </w:p>
    <w:p>
      <w:pPr>
        <w:spacing w:after="0" w:line="31" w:lineRule="exact"/>
        <w:rPr>
          <w:sz w:val="20"/>
          <w:szCs w:val="20"/>
          <w:color w:val="auto"/>
        </w:rPr>
      </w:pPr>
    </w:p>
    <w:p>
      <w:pPr>
        <w:ind w:left="363"/>
        <w:spacing w:after="0"/>
        <w:rPr>
          <w:sz w:val="20"/>
          <w:szCs w:val="20"/>
          <w:color w:val="auto"/>
        </w:rPr>
      </w:pPr>
      <w:r>
        <w:rPr>
          <w:rFonts w:ascii="Times New Roman" w:cs="Times New Roman" w:eastAsia="Times New Roman" w:hAnsi="Times New Roman"/>
          <w:sz w:val="24"/>
          <w:szCs w:val="24"/>
          <w:color w:val="auto"/>
        </w:rPr>
        <w:t>Présenter le rapport de démarrage au Comité technique de l’étude ;</w:t>
      </w:r>
    </w:p>
    <w:p>
      <w:pPr>
        <w:spacing w:after="0" w:line="60" w:lineRule="exact"/>
        <w:rPr>
          <w:sz w:val="20"/>
          <w:szCs w:val="20"/>
          <w:color w:val="auto"/>
        </w:rPr>
      </w:pPr>
    </w:p>
    <w:p>
      <w:pPr>
        <w:ind w:left="363"/>
        <w:spacing w:after="0"/>
        <w:rPr>
          <w:sz w:val="20"/>
          <w:szCs w:val="20"/>
          <w:color w:val="auto"/>
        </w:rPr>
      </w:pPr>
      <w:r>
        <w:rPr>
          <w:rFonts w:ascii="Times New Roman" w:cs="Times New Roman" w:eastAsia="Times New Roman" w:hAnsi="Times New Roman"/>
          <w:sz w:val="24"/>
          <w:szCs w:val="24"/>
          <w:color w:val="auto"/>
        </w:rPr>
        <w:t>Collecter les données sur le terrain, les traiter et les analyser ;</w:t>
      </w:r>
    </w:p>
    <w:p>
      <w:pPr>
        <w:spacing w:after="0" w:line="57" w:lineRule="exact"/>
        <w:rPr>
          <w:sz w:val="20"/>
          <w:szCs w:val="20"/>
          <w:color w:val="auto"/>
        </w:rPr>
      </w:pPr>
    </w:p>
    <w:p>
      <w:pPr>
        <w:ind w:left="363"/>
        <w:spacing w:after="0"/>
        <w:rPr>
          <w:sz w:val="20"/>
          <w:szCs w:val="20"/>
          <w:color w:val="auto"/>
        </w:rPr>
      </w:pPr>
      <w:r>
        <w:rPr>
          <w:rFonts w:ascii="Times New Roman" w:cs="Times New Roman" w:eastAsia="Times New Roman" w:hAnsi="Times New Roman"/>
          <w:sz w:val="24"/>
          <w:szCs w:val="24"/>
          <w:color w:val="auto"/>
        </w:rPr>
        <w:t>Fournir un rapport provisoire de l’étude ;</w:t>
      </w:r>
    </w:p>
    <w:p>
      <w:pPr>
        <w:spacing w:after="0" w:line="60" w:lineRule="exact"/>
        <w:rPr>
          <w:sz w:val="20"/>
          <w:szCs w:val="20"/>
          <w:color w:val="auto"/>
        </w:rPr>
      </w:pPr>
    </w:p>
    <w:p>
      <w:pPr>
        <w:ind w:left="363"/>
        <w:spacing w:after="0"/>
        <w:rPr>
          <w:sz w:val="20"/>
          <w:szCs w:val="20"/>
          <w:color w:val="auto"/>
        </w:rPr>
      </w:pPr>
      <w:r>
        <w:rPr>
          <w:rFonts w:ascii="Times New Roman" w:cs="Times New Roman" w:eastAsia="Times New Roman" w:hAnsi="Times New Roman"/>
          <w:sz w:val="24"/>
          <w:szCs w:val="24"/>
          <w:color w:val="auto"/>
        </w:rPr>
        <w:t>Présenter le rapport provisoire de l’étude au comité technique pour examen ;</w:t>
      </w:r>
    </w:p>
    <w:p>
      <w:pPr>
        <w:spacing w:after="0" w:line="69" w:lineRule="exact"/>
        <w:rPr>
          <w:sz w:val="20"/>
          <w:szCs w:val="20"/>
          <w:color w:val="auto"/>
        </w:rPr>
      </w:pPr>
    </w:p>
    <w:p>
      <w:pPr>
        <w:ind w:left="723" w:right="3600"/>
        <w:spacing w:after="0" w:line="279" w:lineRule="auto"/>
        <w:rPr>
          <w:sz w:val="20"/>
          <w:szCs w:val="20"/>
          <w:color w:val="auto"/>
        </w:rPr>
      </w:pPr>
      <w:r>
        <w:rPr>
          <w:rFonts w:ascii="Times New Roman" w:cs="Times New Roman" w:eastAsia="Times New Roman" w:hAnsi="Times New Roman"/>
          <w:sz w:val="24"/>
          <w:szCs w:val="24"/>
          <w:color w:val="auto"/>
        </w:rPr>
        <w:t>Intégrer les commentaires et observations formulés ; Présenter le rapport final au comité technique ;</w:t>
      </w:r>
    </w:p>
    <w:p>
      <w:pPr>
        <w:spacing w:after="0" w:line="15" w:lineRule="exact"/>
        <w:rPr>
          <w:sz w:val="20"/>
          <w:szCs w:val="20"/>
          <w:color w:val="auto"/>
        </w:rPr>
      </w:pPr>
    </w:p>
    <w:p>
      <w:pPr>
        <w:ind w:left="363"/>
        <w:spacing w:after="0"/>
        <w:rPr>
          <w:sz w:val="20"/>
          <w:szCs w:val="20"/>
          <w:color w:val="auto"/>
        </w:rPr>
      </w:pPr>
      <w:r>
        <w:rPr>
          <w:rFonts w:ascii="Times New Roman" w:cs="Times New Roman" w:eastAsia="Times New Roman" w:hAnsi="Times New Roman"/>
          <w:sz w:val="24"/>
          <w:szCs w:val="24"/>
          <w:color w:val="auto"/>
        </w:rPr>
        <w:t>Elaborer la version finale du rapport de l’étude.</w:t>
      </w:r>
    </w:p>
    <w:p>
      <w:pPr>
        <w:spacing w:after="0" w:line="390" w:lineRule="exact"/>
        <w:rPr>
          <w:sz w:val="20"/>
          <w:szCs w:val="20"/>
          <w:color w:val="auto"/>
        </w:rPr>
      </w:pPr>
    </w:p>
    <w:p>
      <w:pPr>
        <w:ind w:left="283" w:hanging="283"/>
        <w:spacing w:after="0"/>
        <w:tabs>
          <w:tab w:leader="none" w:pos="283" w:val="left"/>
        </w:tabs>
        <w:numPr>
          <w:ilvl w:val="0"/>
          <w:numId w:val="7"/>
        </w:numPr>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b w:val="1"/>
          <w:bCs w:val="1"/>
          <w:color w:val="002060"/>
        </w:rPr>
        <w:t>Profil du cabinet ou bureau d’études</w:t>
      </w:r>
    </w:p>
    <w:p>
      <w:pPr>
        <w:spacing w:after="0" w:line="158"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color w:val="auto"/>
        </w:rPr>
        <w:t>L’étude sera réalisée par un bureau ou un cabinet d’études légalement installé au Burkina Faso et</w:t>
      </w:r>
    </w:p>
    <w:p>
      <w:pPr>
        <w:spacing w:after="0" w:line="53" w:lineRule="exact"/>
        <w:rPr>
          <w:sz w:val="20"/>
          <w:szCs w:val="20"/>
          <w:color w:val="auto"/>
        </w:rPr>
      </w:pPr>
    </w:p>
    <w:p>
      <w:pPr>
        <w:jc w:val="both"/>
        <w:ind w:left="3" w:hanging="3"/>
        <w:spacing w:after="0" w:line="273" w:lineRule="auto"/>
        <w:tabs>
          <w:tab w:leader="none" w:pos="245"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jour avec ses obligations administratives et fiscales. Ce bureau disposera d’une équipe pluridisciplinaire compétente pour la réalisation d’un travail de qualité. L’équipe de bureau d’étude devra être composée au minimum de trois experts : Un(e) expert(e) principal(e) chef d’Equipe spécialiste VBG, Un(e) expert(e) associé(e) démographe ou statisticien(e) et un(e) expert(e) associé(e) et du personnel d’appui pour la collecte.</w:t>
      </w:r>
    </w:p>
    <w:p>
      <w:pPr>
        <w:spacing w:after="0" w:line="125"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color w:val="auto"/>
        </w:rPr>
        <w:t>Le profil ci-après est attendu de chaque spécialiste :</w:t>
      </w:r>
    </w:p>
    <w:p>
      <w:pPr>
        <w:spacing w:after="0" w:line="166"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002060"/>
        </w:rPr>
        <w:t>Un(e) expert(e) principal(e) chef d’Equipe spécialiste en Genre</w:t>
      </w:r>
    </w:p>
    <w:p>
      <w:pPr>
        <w:spacing w:after="0" w:line="159" w:lineRule="exact"/>
        <w:rPr>
          <w:sz w:val="20"/>
          <w:szCs w:val="20"/>
          <w:color w:val="auto"/>
        </w:rPr>
      </w:pPr>
    </w:p>
    <w:p>
      <w:pPr>
        <w:ind w:left="483"/>
        <w:spacing w:after="0"/>
        <w:rPr>
          <w:sz w:val="20"/>
          <w:szCs w:val="20"/>
          <w:color w:val="auto"/>
        </w:rPr>
      </w:pPr>
      <w:r>
        <w:rPr>
          <w:rFonts w:ascii="Times New Roman" w:cs="Times New Roman" w:eastAsia="Times New Roman" w:hAnsi="Times New Roman"/>
          <w:sz w:val="24"/>
          <w:szCs w:val="24"/>
          <w:color w:val="auto"/>
        </w:rPr>
        <w:t>Être titulaire d’au moins un master en science sociale ou équivalent ;</w:t>
      </w:r>
    </w:p>
    <w:p>
      <w:pPr>
        <w:spacing w:after="0" w:line="160" w:lineRule="exact"/>
        <w:rPr>
          <w:sz w:val="20"/>
          <w:szCs w:val="20"/>
          <w:color w:val="auto"/>
        </w:rPr>
      </w:pPr>
    </w:p>
    <w:p>
      <w:pPr>
        <w:ind w:left="483"/>
        <w:spacing w:after="0"/>
        <w:rPr>
          <w:sz w:val="20"/>
          <w:szCs w:val="20"/>
          <w:color w:val="auto"/>
        </w:rPr>
      </w:pPr>
      <w:r>
        <w:rPr>
          <w:rFonts w:ascii="Times New Roman" w:cs="Times New Roman" w:eastAsia="Times New Roman" w:hAnsi="Times New Roman"/>
          <w:sz w:val="24"/>
          <w:szCs w:val="24"/>
          <w:color w:val="auto"/>
        </w:rPr>
        <w:t>Justifier d’au moins sept (7) ans d’expériences consacrées à la promotion du genre</w:t>
      </w:r>
    </w:p>
    <w:p>
      <w:pPr>
        <w:sectPr>
          <w:pgSz w:w="11900" w:h="16838" w:orient="portrait"/>
          <w:cols w:equalWidth="0" w:num="1">
            <w:col w:w="9363"/>
          </w:cols>
          <w:pgMar w:left="1277" w:top="412" w:right="1266" w:bottom="801" w:gutter="0" w:footer="0" w:header="0"/>
        </w:sectPr>
      </w:pPr>
    </w:p>
    <w:bookmarkStart w:id="4" w:name="page5"/>
    <w:bookmarkEnd w:id="4"/>
    <w:p>
      <w:pPr>
        <w:jc w:val="center"/>
        <w:ind w:right="20"/>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5</w:t>
      </w:r>
    </w:p>
    <w:p>
      <w:pPr>
        <w:spacing w:after="0" w:line="391" w:lineRule="exact"/>
        <w:rPr>
          <w:sz w:val="20"/>
          <w:szCs w:val="20"/>
          <w:color w:val="auto"/>
        </w:rPr>
      </w:pPr>
    </w:p>
    <w:p>
      <w:pPr>
        <w:jc w:val="center"/>
        <w:ind w:right="60"/>
        <w:spacing w:after="0"/>
        <w:rPr>
          <w:sz w:val="20"/>
          <w:szCs w:val="20"/>
          <w:color w:val="auto"/>
        </w:rPr>
      </w:pPr>
      <w:r>
        <w:rPr>
          <w:rFonts w:ascii="Times New Roman" w:cs="Times New Roman" w:eastAsia="Times New Roman" w:hAnsi="Times New Roman"/>
          <w:sz w:val="24"/>
          <w:szCs w:val="24"/>
          <w:color w:val="auto"/>
        </w:rPr>
        <w:t>et à la lutte contre les violences basées sur le genre, y compris la PSEA ;</w:t>
      </w:r>
    </w:p>
    <w:p>
      <w:pPr>
        <w:spacing w:after="0" w:line="176" w:lineRule="exact"/>
        <w:rPr>
          <w:sz w:val="20"/>
          <w:szCs w:val="20"/>
          <w:color w:val="auto"/>
        </w:rPr>
      </w:pPr>
    </w:p>
    <w:p>
      <w:pPr>
        <w:ind w:left="840" w:right="180"/>
        <w:spacing w:after="0" w:line="252" w:lineRule="auto"/>
        <w:rPr>
          <w:sz w:val="20"/>
          <w:szCs w:val="20"/>
          <w:color w:val="auto"/>
        </w:rPr>
      </w:pPr>
      <w:r>
        <w:rPr>
          <w:rFonts w:ascii="Times New Roman" w:cs="Times New Roman" w:eastAsia="Times New Roman" w:hAnsi="Times New Roman"/>
          <w:sz w:val="24"/>
          <w:szCs w:val="24"/>
          <w:color w:val="auto"/>
        </w:rPr>
        <w:t>Avoir une bonne compréhension des problématiques genre et de lutte contre les VBG ;</w:t>
      </w:r>
    </w:p>
    <w:p>
      <w:pPr>
        <w:spacing w:after="0" w:line="200" w:lineRule="exact"/>
        <w:rPr>
          <w:sz w:val="20"/>
          <w:szCs w:val="20"/>
          <w:color w:val="auto"/>
        </w:rPr>
      </w:pPr>
    </w:p>
    <w:p>
      <w:pPr>
        <w:spacing w:after="0" w:line="263" w:lineRule="exact"/>
        <w:rPr>
          <w:sz w:val="20"/>
          <w:szCs w:val="20"/>
          <w:color w:val="auto"/>
        </w:rPr>
      </w:pPr>
    </w:p>
    <w:p>
      <w:pPr>
        <w:ind w:left="840" w:right="860"/>
        <w:spacing w:after="0" w:line="264" w:lineRule="auto"/>
        <w:rPr>
          <w:sz w:val="20"/>
          <w:szCs w:val="20"/>
          <w:color w:val="auto"/>
        </w:rPr>
      </w:pPr>
      <w:r>
        <w:rPr>
          <w:rFonts w:ascii="Times New Roman" w:cs="Times New Roman" w:eastAsia="Times New Roman" w:hAnsi="Times New Roman"/>
          <w:sz w:val="24"/>
          <w:szCs w:val="24"/>
          <w:color w:val="auto"/>
        </w:rPr>
        <w:t>Avoir une expérience avérée en matière de collecte et d’analyse des données quantitatives et qualitatives ;</w:t>
      </w:r>
    </w:p>
    <w:p>
      <w:pPr>
        <w:spacing w:after="0" w:line="148" w:lineRule="exact"/>
        <w:rPr>
          <w:sz w:val="20"/>
          <w:szCs w:val="20"/>
          <w:color w:val="auto"/>
        </w:rPr>
      </w:pPr>
    </w:p>
    <w:p>
      <w:pPr>
        <w:jc w:val="both"/>
        <w:ind w:left="840" w:right="2100"/>
        <w:spacing w:after="0" w:line="369" w:lineRule="auto"/>
        <w:rPr>
          <w:sz w:val="20"/>
          <w:szCs w:val="20"/>
          <w:color w:val="auto"/>
        </w:rPr>
      </w:pPr>
      <w:r>
        <w:rPr>
          <w:rFonts w:ascii="Times New Roman" w:cs="Times New Roman" w:eastAsia="Times New Roman" w:hAnsi="Times New Roman"/>
          <w:sz w:val="24"/>
          <w:szCs w:val="24"/>
          <w:color w:val="auto"/>
        </w:rPr>
        <w:t>Avoir une excellente capacité de synthèse et rédaction en français ; Avoir une bonne capacité d’analyse et de rédaction de rapport ;</w:t>
      </w:r>
    </w:p>
    <w:p>
      <w:pPr>
        <w:spacing w:after="0" w:line="24" w:lineRule="exact"/>
        <w:rPr>
          <w:sz w:val="20"/>
          <w:szCs w:val="20"/>
          <w:color w:val="auto"/>
        </w:rPr>
      </w:pPr>
    </w:p>
    <w:p>
      <w:pPr>
        <w:ind w:left="840" w:right="720"/>
        <w:spacing w:after="0" w:line="271" w:lineRule="auto"/>
        <w:rPr>
          <w:sz w:val="20"/>
          <w:szCs w:val="20"/>
          <w:color w:val="auto"/>
        </w:rPr>
      </w:pPr>
      <w:r>
        <w:rPr>
          <w:rFonts w:ascii="Times New Roman" w:cs="Times New Roman" w:eastAsia="Times New Roman" w:hAnsi="Times New Roman"/>
          <w:sz w:val="24"/>
          <w:szCs w:val="24"/>
          <w:color w:val="auto"/>
        </w:rPr>
        <w:t>Avoir une bonne maîtrise de l’outil informatique (World, Excel et Powerpoint), des logiciels de collecte, de traitement et d’analyse des données (KoboCollect, Survey CTO, STATA, SPSS, etc.) ;</w:t>
      </w:r>
    </w:p>
    <w:p>
      <w:pPr>
        <w:spacing w:after="0" w:line="126"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Les expériences avec les organisations internationales seraient un atout.</w:t>
      </w:r>
    </w:p>
    <w:p>
      <w:pPr>
        <w:spacing w:after="0" w:line="166"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002060"/>
        </w:rPr>
        <w:t>Un(e) expert(e) associé(e) démographe ou statisticien(e)</w:t>
      </w:r>
    </w:p>
    <w:p>
      <w:pPr>
        <w:spacing w:after="0" w:line="168" w:lineRule="exact"/>
        <w:rPr>
          <w:sz w:val="20"/>
          <w:szCs w:val="20"/>
          <w:color w:val="auto"/>
        </w:rPr>
      </w:pPr>
    </w:p>
    <w:p>
      <w:pPr>
        <w:ind w:left="840" w:right="720"/>
        <w:spacing w:after="0" w:line="266" w:lineRule="auto"/>
        <w:rPr>
          <w:sz w:val="20"/>
          <w:szCs w:val="20"/>
          <w:color w:val="auto"/>
        </w:rPr>
      </w:pPr>
      <w:r>
        <w:rPr>
          <w:rFonts w:ascii="Times New Roman" w:cs="Times New Roman" w:eastAsia="Times New Roman" w:hAnsi="Times New Roman"/>
          <w:sz w:val="24"/>
          <w:szCs w:val="24"/>
          <w:color w:val="auto"/>
        </w:rPr>
        <w:t>Être titulaire d’un diplôme universitaire niveau BAC+4 en Démographie ou Statistique ;</w:t>
      </w:r>
    </w:p>
    <w:p>
      <w:pPr>
        <w:spacing w:after="0" w:line="144" w:lineRule="exact"/>
        <w:rPr>
          <w:sz w:val="20"/>
          <w:szCs w:val="20"/>
          <w:color w:val="auto"/>
        </w:rPr>
      </w:pPr>
    </w:p>
    <w:p>
      <w:pPr>
        <w:ind w:left="840" w:right="720"/>
        <w:spacing w:after="0" w:line="264" w:lineRule="auto"/>
        <w:rPr>
          <w:sz w:val="20"/>
          <w:szCs w:val="20"/>
          <w:color w:val="auto"/>
        </w:rPr>
      </w:pPr>
      <w:r>
        <w:rPr>
          <w:rFonts w:ascii="Times New Roman" w:cs="Times New Roman" w:eastAsia="Times New Roman" w:hAnsi="Times New Roman"/>
          <w:sz w:val="24"/>
          <w:szCs w:val="24"/>
          <w:color w:val="auto"/>
        </w:rPr>
        <w:t>Avoir une expérience avérée en matière de sondage, de traitement et d’analyse de données ;</w:t>
      </w:r>
    </w:p>
    <w:p>
      <w:pPr>
        <w:spacing w:after="0" w:line="134"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Avoir réalisé au moins trois études ou enquêtes similaires au Burkina Faso ;</w:t>
      </w:r>
    </w:p>
    <w:p>
      <w:pPr>
        <w:spacing w:after="0" w:line="175" w:lineRule="exact"/>
        <w:rPr>
          <w:sz w:val="20"/>
          <w:szCs w:val="20"/>
          <w:color w:val="auto"/>
        </w:rPr>
      </w:pPr>
    </w:p>
    <w:p>
      <w:pPr>
        <w:ind w:left="840" w:right="720"/>
        <w:spacing w:after="0" w:line="270" w:lineRule="auto"/>
        <w:rPr>
          <w:sz w:val="20"/>
          <w:szCs w:val="20"/>
          <w:color w:val="auto"/>
        </w:rPr>
      </w:pPr>
      <w:r>
        <w:rPr>
          <w:rFonts w:ascii="Times New Roman" w:cs="Times New Roman" w:eastAsia="Times New Roman" w:hAnsi="Times New Roman"/>
          <w:sz w:val="24"/>
          <w:szCs w:val="24"/>
          <w:color w:val="auto"/>
        </w:rPr>
        <w:t>Très bonne maitrise de la programmation des outils de collecte électronique des données comme ODK, KoboCollect, Cspro mobile, Survey Solution, Survey CTO, etc.</w:t>
      </w:r>
    </w:p>
    <w:p>
      <w:pPr>
        <w:spacing w:after="0" w:line="126"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Très bonne maitrise d’au moins un logiciel de cartographie (ArcGis, QGIS, etc.) ;</w:t>
      </w:r>
    </w:p>
    <w:p>
      <w:pPr>
        <w:spacing w:after="0" w:line="163"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Avoir une excellente capacité de rédaction et de communication en français.</w:t>
      </w:r>
    </w:p>
    <w:p>
      <w:pPr>
        <w:spacing w:after="0" w:line="166"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4"/>
          <w:szCs w:val="24"/>
          <w:b w:val="1"/>
          <w:bCs w:val="1"/>
          <w:color w:val="002060"/>
        </w:rPr>
        <w:t>Un(e) Expert(e) associé(e) sociologue ou anthropologue</w:t>
      </w:r>
    </w:p>
    <w:p>
      <w:pPr>
        <w:spacing w:after="0" w:line="168" w:lineRule="exact"/>
        <w:rPr>
          <w:sz w:val="20"/>
          <w:szCs w:val="20"/>
          <w:color w:val="auto"/>
        </w:rPr>
      </w:pPr>
    </w:p>
    <w:p>
      <w:pPr>
        <w:ind w:left="840" w:right="720"/>
        <w:spacing w:after="0" w:line="264" w:lineRule="auto"/>
        <w:rPr>
          <w:sz w:val="20"/>
          <w:szCs w:val="20"/>
          <w:color w:val="auto"/>
        </w:rPr>
      </w:pPr>
      <w:r>
        <w:rPr>
          <w:rFonts w:ascii="Times New Roman" w:cs="Times New Roman" w:eastAsia="Times New Roman" w:hAnsi="Times New Roman"/>
          <w:sz w:val="24"/>
          <w:szCs w:val="24"/>
          <w:color w:val="auto"/>
        </w:rPr>
        <w:t>Être titulaire d’un diplôme universitaire niveau BAC+4 au moins en sociologie, anthropologie ou tout autre domaine équivalent ;</w:t>
      </w:r>
    </w:p>
    <w:p>
      <w:pPr>
        <w:spacing w:after="0" w:line="134"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Avoir réalisé au moins trois études ou enquêtes similaires au Burkina Faso ;</w:t>
      </w:r>
    </w:p>
    <w:p>
      <w:pPr>
        <w:spacing w:after="0" w:line="163"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Très bonne maitrise de l’analyse et interprétation des données qualitatives ;</w:t>
      </w:r>
    </w:p>
    <w:p>
      <w:pPr>
        <w:spacing w:after="0" w:line="160"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4"/>
          <w:szCs w:val="24"/>
          <w:color w:val="auto"/>
        </w:rPr>
        <w:t>Avoir une excellente capacité de rédaction et de communication en français.</w:t>
      </w:r>
    </w:p>
    <w:p>
      <w:pPr>
        <w:spacing w:after="0" w:line="200" w:lineRule="exact"/>
        <w:rPr>
          <w:sz w:val="20"/>
          <w:szCs w:val="20"/>
          <w:color w:val="auto"/>
        </w:rPr>
      </w:pPr>
    </w:p>
    <w:p>
      <w:pPr>
        <w:spacing w:after="0" w:line="200" w:lineRule="exact"/>
        <w:rPr>
          <w:sz w:val="20"/>
          <w:szCs w:val="20"/>
          <w:color w:val="auto"/>
        </w:rPr>
      </w:pPr>
    </w:p>
    <w:p>
      <w:pPr>
        <w:spacing w:after="0" w:line="202" w:lineRule="exact"/>
        <w:rPr>
          <w:sz w:val="20"/>
          <w:szCs w:val="20"/>
          <w:color w:val="auto"/>
        </w:rPr>
      </w:pPr>
    </w:p>
    <w:p>
      <w:pPr>
        <w:spacing w:after="0"/>
        <w:tabs>
          <w:tab w:leader="none" w:pos="260" w:val="left"/>
        </w:tabs>
        <w:rPr>
          <w:sz w:val="20"/>
          <w:szCs w:val="20"/>
          <w:color w:val="auto"/>
        </w:rPr>
      </w:pPr>
      <w:r>
        <w:rPr>
          <w:rFonts w:ascii="Times New Roman" w:cs="Times New Roman" w:eastAsia="Times New Roman" w:hAnsi="Times New Roman"/>
          <w:sz w:val="24"/>
          <w:szCs w:val="24"/>
          <w:b w:val="1"/>
          <w:bCs w:val="1"/>
          <w:color w:val="002060"/>
        </w:rPr>
        <w:t>5</w:t>
      </w:r>
      <w:r>
        <w:rPr>
          <w:sz w:val="20"/>
          <w:szCs w:val="20"/>
          <w:color w:val="auto"/>
        </w:rPr>
        <w:tab/>
      </w:r>
      <w:r>
        <w:rPr>
          <w:rFonts w:ascii="Times New Roman" w:cs="Times New Roman" w:eastAsia="Times New Roman" w:hAnsi="Times New Roman"/>
          <w:sz w:val="23"/>
          <w:szCs w:val="23"/>
          <w:b w:val="1"/>
          <w:bCs w:val="1"/>
          <w:color w:val="002060"/>
        </w:rPr>
        <w:t>Produits livrables</w:t>
      </w:r>
    </w:p>
    <w:p>
      <w:pPr>
        <w:spacing w:after="0" w:line="158"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Les livrables attendus du bureau d’études au cours de la réalisation de l’étude sont :</w:t>
      </w:r>
    </w:p>
    <w:p>
      <w:pPr>
        <w:spacing w:after="0" w:line="166" w:lineRule="exact"/>
        <w:rPr>
          <w:sz w:val="20"/>
          <w:szCs w:val="20"/>
          <w:color w:val="auto"/>
        </w:rPr>
      </w:pPr>
    </w:p>
    <w:p>
      <w:pPr>
        <w:spacing w:after="0"/>
        <w:tabs>
          <w:tab w:leader="none" w:pos="740" w:val="left"/>
        </w:tabs>
        <w:rPr>
          <w:sz w:val="20"/>
          <w:szCs w:val="20"/>
          <w:color w:val="auto"/>
        </w:rPr>
      </w:pPr>
      <w:r>
        <w:rPr>
          <w:rFonts w:ascii="Times New Roman" w:cs="Times New Roman" w:eastAsia="Times New Roman" w:hAnsi="Times New Roman"/>
          <w:sz w:val="24"/>
          <w:szCs w:val="24"/>
          <w:b w:val="1"/>
          <w:bCs w:val="1"/>
          <w:color w:val="auto"/>
        </w:rPr>
        <w:t>5.2</w:t>
      </w:r>
      <w:r>
        <w:rPr>
          <w:sz w:val="20"/>
          <w:szCs w:val="20"/>
          <w:color w:val="auto"/>
        </w:rPr>
        <w:tab/>
      </w:r>
      <w:r>
        <w:rPr>
          <w:rFonts w:ascii="Times New Roman" w:cs="Times New Roman" w:eastAsia="Times New Roman" w:hAnsi="Times New Roman"/>
          <w:sz w:val="24"/>
          <w:szCs w:val="24"/>
          <w:b w:val="1"/>
          <w:bCs w:val="1"/>
          <w:color w:val="002060"/>
        </w:rPr>
        <w:t>Rapport de démarrage</w:t>
      </w:r>
    </w:p>
    <w:p>
      <w:pPr>
        <w:spacing w:after="0" w:line="168"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4"/>
          <w:szCs w:val="24"/>
          <w:color w:val="auto"/>
        </w:rPr>
        <w:t>Le bureau d’études présentera un rapport de démarrage comprenant la méthodologie détaillée de l’étude, les outils de collecte des données et un chronogramme. Le rapport de démarrage sera présenté au Comité Technique de l’étude pour validation.</w:t>
      </w:r>
    </w:p>
    <w:p>
      <w:pPr>
        <w:spacing w:after="0" w:line="131" w:lineRule="exact"/>
        <w:rPr>
          <w:sz w:val="20"/>
          <w:szCs w:val="20"/>
          <w:color w:val="auto"/>
        </w:rPr>
      </w:pPr>
    </w:p>
    <w:p>
      <w:pPr>
        <w:spacing w:after="0"/>
        <w:tabs>
          <w:tab w:leader="none" w:pos="740" w:val="left"/>
        </w:tabs>
        <w:rPr>
          <w:sz w:val="20"/>
          <w:szCs w:val="20"/>
          <w:color w:val="auto"/>
        </w:rPr>
      </w:pPr>
      <w:r>
        <w:rPr>
          <w:rFonts w:ascii="Times New Roman" w:cs="Times New Roman" w:eastAsia="Times New Roman" w:hAnsi="Times New Roman"/>
          <w:sz w:val="24"/>
          <w:szCs w:val="24"/>
          <w:b w:val="1"/>
          <w:bCs w:val="1"/>
          <w:color w:val="002060"/>
        </w:rPr>
        <w:t>5.3</w:t>
      </w:r>
      <w:r>
        <w:rPr>
          <w:sz w:val="20"/>
          <w:szCs w:val="20"/>
          <w:color w:val="auto"/>
        </w:rPr>
        <w:tab/>
      </w:r>
      <w:r>
        <w:rPr>
          <w:rFonts w:ascii="Times New Roman" w:cs="Times New Roman" w:eastAsia="Times New Roman" w:hAnsi="Times New Roman"/>
          <w:sz w:val="24"/>
          <w:szCs w:val="24"/>
          <w:b w:val="1"/>
          <w:bCs w:val="1"/>
          <w:color w:val="002060"/>
        </w:rPr>
        <w:t>Rapport de collecte</w:t>
      </w:r>
    </w:p>
    <w:p>
      <w:pPr>
        <w:sectPr>
          <w:pgSz w:w="11900" w:h="16838" w:orient="portrait"/>
          <w:cols w:equalWidth="0" w:num="1">
            <w:col w:w="9380"/>
          </w:cols>
          <w:pgMar w:left="1280" w:top="412" w:right="1246" w:bottom="876" w:gutter="0" w:footer="0" w:header="0"/>
        </w:sectPr>
      </w:pPr>
    </w:p>
    <w:bookmarkStart w:id="5" w:name="page6"/>
    <w:bookmarkEnd w:id="5"/>
    <w:p>
      <w:pPr>
        <w:jc w:val="center"/>
        <w:ind w:right="17"/>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6</w:t>
      </w:r>
    </w:p>
    <w:p>
      <w:pPr>
        <w:spacing w:after="0" w:line="200" w:lineRule="exact"/>
        <w:rPr>
          <w:sz w:val="20"/>
          <w:szCs w:val="20"/>
          <w:color w:val="auto"/>
        </w:rPr>
      </w:pPr>
    </w:p>
    <w:p>
      <w:pPr>
        <w:spacing w:after="0" w:line="203" w:lineRule="exact"/>
        <w:rPr>
          <w:sz w:val="20"/>
          <w:szCs w:val="20"/>
          <w:color w:val="auto"/>
        </w:rPr>
      </w:pPr>
    </w:p>
    <w:p>
      <w:pPr>
        <w:jc w:val="both"/>
        <w:ind w:left="3"/>
        <w:spacing w:after="0" w:line="271" w:lineRule="auto"/>
        <w:rPr>
          <w:sz w:val="20"/>
          <w:szCs w:val="20"/>
          <w:color w:val="auto"/>
        </w:rPr>
      </w:pPr>
      <w:r>
        <w:rPr>
          <w:rFonts w:ascii="Times New Roman" w:cs="Times New Roman" w:eastAsia="Times New Roman" w:hAnsi="Times New Roman"/>
          <w:sz w:val="24"/>
          <w:szCs w:val="24"/>
          <w:color w:val="auto"/>
        </w:rPr>
        <w:t>Le rapport d’étape est une mise à jour du processus de la réalisation de l’étude au début et à la fin de la collecte des données et comprendra le niveau de couverture de l’échantillon de l’étude des données brutes collectées et le bilan de déroulement des travaux de terrain.</w:t>
      </w:r>
    </w:p>
    <w:p>
      <w:pPr>
        <w:spacing w:after="0" w:line="131" w:lineRule="exact"/>
        <w:rPr>
          <w:sz w:val="20"/>
          <w:szCs w:val="20"/>
          <w:color w:val="auto"/>
        </w:rPr>
      </w:pPr>
    </w:p>
    <w:p>
      <w:pPr>
        <w:ind w:left="3"/>
        <w:spacing w:after="0"/>
        <w:tabs>
          <w:tab w:leader="none" w:pos="742" w:val="left"/>
        </w:tabs>
        <w:rPr>
          <w:sz w:val="20"/>
          <w:szCs w:val="20"/>
          <w:color w:val="auto"/>
        </w:rPr>
      </w:pPr>
      <w:r>
        <w:rPr>
          <w:rFonts w:ascii="Times New Roman" w:cs="Times New Roman" w:eastAsia="Times New Roman" w:hAnsi="Times New Roman"/>
          <w:sz w:val="24"/>
          <w:szCs w:val="24"/>
          <w:b w:val="1"/>
          <w:bCs w:val="1"/>
          <w:color w:val="002060"/>
        </w:rPr>
        <w:t>5.4</w:t>
      </w:r>
      <w:r>
        <w:rPr>
          <w:sz w:val="20"/>
          <w:szCs w:val="20"/>
          <w:color w:val="auto"/>
        </w:rPr>
        <w:tab/>
      </w:r>
      <w:r>
        <w:rPr>
          <w:rFonts w:ascii="Times New Roman" w:cs="Times New Roman" w:eastAsia="Times New Roman" w:hAnsi="Times New Roman"/>
          <w:sz w:val="24"/>
          <w:szCs w:val="24"/>
          <w:b w:val="1"/>
          <w:bCs w:val="1"/>
          <w:color w:val="002060"/>
        </w:rPr>
        <w:t>Le rapport provisoire de l’étude</w:t>
      </w:r>
    </w:p>
    <w:p>
      <w:pPr>
        <w:spacing w:after="0" w:line="168" w:lineRule="exact"/>
        <w:rPr>
          <w:sz w:val="20"/>
          <w:szCs w:val="20"/>
          <w:color w:val="auto"/>
        </w:rPr>
      </w:pPr>
    </w:p>
    <w:p>
      <w:pPr>
        <w:jc w:val="both"/>
        <w:ind w:left="3" w:right="20"/>
        <w:spacing w:after="0" w:line="272" w:lineRule="auto"/>
        <w:rPr>
          <w:sz w:val="20"/>
          <w:szCs w:val="20"/>
          <w:color w:val="auto"/>
        </w:rPr>
      </w:pPr>
      <w:r>
        <w:rPr>
          <w:rFonts w:ascii="Times New Roman" w:cs="Times New Roman" w:eastAsia="Times New Roman" w:hAnsi="Times New Roman"/>
          <w:sz w:val="24"/>
          <w:szCs w:val="24"/>
          <w:color w:val="auto"/>
        </w:rPr>
        <w:t>Après l’analyse des données quantitatives et qualitatives, un rapport provisoire sera élaboré et présenté au Comité technique de suivi de l’étude. Les bases des données brutes et nettoyées seront mises à la disposition de l’UNFPA, ainsi que la syntaxe des programmes de traitement et d’analyse des données.</w:t>
      </w:r>
    </w:p>
    <w:p>
      <w:pPr>
        <w:spacing w:after="0" w:line="131" w:lineRule="exact"/>
        <w:rPr>
          <w:sz w:val="20"/>
          <w:szCs w:val="20"/>
          <w:color w:val="auto"/>
        </w:rPr>
      </w:pPr>
    </w:p>
    <w:p>
      <w:pPr>
        <w:ind w:left="3"/>
        <w:spacing w:after="0"/>
        <w:tabs>
          <w:tab w:leader="none" w:pos="742" w:val="left"/>
        </w:tabs>
        <w:rPr>
          <w:sz w:val="20"/>
          <w:szCs w:val="20"/>
          <w:color w:val="auto"/>
        </w:rPr>
      </w:pPr>
      <w:r>
        <w:rPr>
          <w:rFonts w:ascii="Times New Roman" w:cs="Times New Roman" w:eastAsia="Times New Roman" w:hAnsi="Times New Roman"/>
          <w:sz w:val="24"/>
          <w:szCs w:val="24"/>
          <w:b w:val="1"/>
          <w:bCs w:val="1"/>
          <w:color w:val="auto"/>
        </w:rPr>
        <w:t>5.5</w:t>
      </w:r>
      <w:r>
        <w:rPr>
          <w:sz w:val="20"/>
          <w:szCs w:val="20"/>
          <w:color w:val="auto"/>
        </w:rPr>
        <w:tab/>
      </w:r>
      <w:r>
        <w:rPr>
          <w:rFonts w:ascii="Times New Roman" w:cs="Times New Roman" w:eastAsia="Times New Roman" w:hAnsi="Times New Roman"/>
          <w:sz w:val="23"/>
          <w:szCs w:val="23"/>
          <w:b w:val="1"/>
          <w:bCs w:val="1"/>
          <w:color w:val="002060"/>
        </w:rPr>
        <w:t>Le rapport final de l’étude</w:t>
      </w:r>
    </w:p>
    <w:p>
      <w:pPr>
        <w:spacing w:after="0" w:line="171" w:lineRule="exact"/>
        <w:rPr>
          <w:sz w:val="20"/>
          <w:szCs w:val="20"/>
          <w:color w:val="auto"/>
        </w:rPr>
      </w:pPr>
    </w:p>
    <w:p>
      <w:pPr>
        <w:jc w:val="both"/>
        <w:ind w:left="3" w:right="40"/>
        <w:spacing w:after="0" w:line="270" w:lineRule="auto"/>
        <w:rPr>
          <w:sz w:val="20"/>
          <w:szCs w:val="20"/>
          <w:color w:val="auto"/>
        </w:rPr>
      </w:pPr>
      <w:r>
        <w:rPr>
          <w:rFonts w:ascii="Times New Roman" w:cs="Times New Roman" w:eastAsia="Times New Roman" w:hAnsi="Times New Roman"/>
          <w:sz w:val="24"/>
          <w:szCs w:val="24"/>
          <w:color w:val="auto"/>
        </w:rPr>
        <w:t>Après la présentation du rapport provisoire, le bureau d’études sera amené à prendre en compte les éventuels amendements et observations issus la séance de validation et produire le rapport final à transmettre à l’UNFPA.</w:t>
      </w:r>
    </w:p>
    <w:p>
      <w:pPr>
        <w:spacing w:after="0" w:line="140" w:lineRule="exact"/>
        <w:rPr>
          <w:sz w:val="20"/>
          <w:szCs w:val="20"/>
          <w:color w:val="auto"/>
        </w:rPr>
      </w:pPr>
    </w:p>
    <w:p>
      <w:pPr>
        <w:jc w:val="both"/>
        <w:ind w:left="3" w:right="20"/>
        <w:spacing w:after="0" w:line="271" w:lineRule="auto"/>
        <w:rPr>
          <w:sz w:val="20"/>
          <w:szCs w:val="20"/>
          <w:color w:val="auto"/>
        </w:rPr>
      </w:pPr>
      <w:r>
        <w:rPr>
          <w:rFonts w:ascii="Times New Roman" w:cs="Times New Roman" w:eastAsia="Times New Roman" w:hAnsi="Times New Roman"/>
          <w:sz w:val="24"/>
          <w:szCs w:val="24"/>
          <w:color w:val="auto"/>
        </w:rPr>
        <w:t>Le rapport final doit être de haute qualité rédactionnelle et analytique produit en trois (03) exemplaires formats papier A4 et sous supports numériques (clé USB). Les données collectées restent la propriété exclusive de l’UNFPA.</w:t>
      </w:r>
    </w:p>
    <w:p>
      <w:pPr>
        <w:spacing w:after="0" w:line="131" w:lineRule="exact"/>
        <w:rPr>
          <w:sz w:val="20"/>
          <w:szCs w:val="20"/>
          <w:color w:val="auto"/>
        </w:rPr>
      </w:pPr>
    </w:p>
    <w:p>
      <w:pPr>
        <w:ind w:left="3"/>
        <w:spacing w:after="0"/>
        <w:tabs>
          <w:tab w:leader="none" w:pos="262" w:val="left"/>
        </w:tabs>
        <w:rPr>
          <w:sz w:val="20"/>
          <w:szCs w:val="20"/>
          <w:color w:val="auto"/>
        </w:rPr>
      </w:pPr>
      <w:r>
        <w:rPr>
          <w:rFonts w:ascii="Times New Roman" w:cs="Times New Roman" w:eastAsia="Times New Roman" w:hAnsi="Times New Roman"/>
          <w:sz w:val="24"/>
          <w:szCs w:val="24"/>
          <w:b w:val="1"/>
          <w:bCs w:val="1"/>
          <w:color w:val="002060"/>
        </w:rPr>
        <w:t>6</w:t>
      </w:r>
      <w:r>
        <w:rPr>
          <w:sz w:val="20"/>
          <w:szCs w:val="20"/>
          <w:color w:val="auto"/>
        </w:rPr>
        <w:tab/>
      </w:r>
      <w:r>
        <w:rPr>
          <w:rFonts w:ascii="Times New Roman" w:cs="Times New Roman" w:eastAsia="Times New Roman" w:hAnsi="Times New Roman"/>
          <w:sz w:val="23"/>
          <w:szCs w:val="23"/>
          <w:b w:val="1"/>
          <w:bCs w:val="1"/>
          <w:color w:val="002060"/>
        </w:rPr>
        <w:t>Durée de la consultation et chronogramme indicatif</w:t>
      </w:r>
    </w:p>
    <w:p>
      <w:pPr>
        <w:spacing w:after="0" w:line="168" w:lineRule="exact"/>
        <w:rPr>
          <w:sz w:val="20"/>
          <w:szCs w:val="20"/>
          <w:color w:val="auto"/>
        </w:rPr>
      </w:pPr>
    </w:p>
    <w:p>
      <w:pPr>
        <w:jc w:val="both"/>
        <w:ind w:left="3" w:right="20"/>
        <w:spacing w:after="0" w:line="266" w:lineRule="auto"/>
        <w:rPr>
          <w:sz w:val="20"/>
          <w:szCs w:val="20"/>
          <w:color w:val="auto"/>
        </w:rPr>
      </w:pPr>
      <w:r>
        <w:rPr>
          <w:rFonts w:ascii="Times New Roman" w:cs="Times New Roman" w:eastAsia="Times New Roman" w:hAnsi="Times New Roman"/>
          <w:sz w:val="24"/>
          <w:szCs w:val="24"/>
          <w:color w:val="auto"/>
        </w:rPr>
        <w:t>La durée d’exécution de l’étude est fixée à quarante-cinq (45) jours à compter de la date de signature du contrat. Le tableau 1 présente le chronogramme indicatif de l’étude.</w:t>
      </w:r>
    </w:p>
    <w:p>
      <w:pPr>
        <w:spacing w:after="0" w:line="120" w:lineRule="exact"/>
        <w:rPr>
          <w:sz w:val="20"/>
          <w:szCs w:val="20"/>
          <w:color w:val="auto"/>
        </w:rPr>
      </w:pPr>
    </w:p>
    <w:tbl>
      <w:tblPr>
        <w:tblLayout w:type="fixed"/>
        <w:tblInd w:w="13" w:type="dxa"/>
        <w:tblCellMar>
          <w:top w:w="0" w:type="dxa"/>
          <w:left w:w="0" w:type="dxa"/>
          <w:bottom w:w="0" w:type="dxa"/>
          <w:right w:w="0" w:type="dxa"/>
        </w:tblCellMar>
      </w:tblPr>
      <w:tr>
        <w:trPr>
          <w:trHeight w:val="332"/>
        </w:trPr>
        <w:tc>
          <w:tcPr>
            <w:tcW w:w="6220" w:type="dxa"/>
            <w:vAlign w:val="bottom"/>
            <w:tcBorders>
              <w:top w:val="single" w:sz="8" w:color="auto"/>
              <w:left w:val="single" w:sz="8" w:color="auto"/>
              <w:bottom w:val="single" w:sz="8" w:color="FFC000"/>
              <w:right w:val="single" w:sz="8" w:color="auto"/>
            </w:tcBorders>
            <w:gridSpan w:val="3"/>
            <w:shd w:val="clear" w:color="auto" w:fill="FFC000"/>
          </w:tcPr>
          <w:p>
            <w:pPr>
              <w:ind w:left="120"/>
              <w:spacing w:after="0"/>
              <w:rPr>
                <w:sz w:val="20"/>
                <w:szCs w:val="20"/>
                <w:color w:val="auto"/>
              </w:rPr>
            </w:pPr>
            <w:r>
              <w:rPr>
                <w:rFonts w:ascii="Times New Roman" w:cs="Times New Roman" w:eastAsia="Times New Roman" w:hAnsi="Times New Roman"/>
                <w:sz w:val="24"/>
                <w:szCs w:val="24"/>
                <w:b w:val="1"/>
                <w:bCs w:val="1"/>
                <w:color w:val="auto"/>
              </w:rPr>
              <w:t>Etapes/produits de l’évaluation</w:t>
            </w:r>
          </w:p>
        </w:tc>
        <w:tc>
          <w:tcPr>
            <w:tcW w:w="3000" w:type="dxa"/>
            <w:vAlign w:val="bottom"/>
            <w:tcBorders>
              <w:top w:val="single" w:sz="8" w:color="auto"/>
              <w:bottom w:val="single" w:sz="8" w:color="FFC000"/>
              <w:right w:val="single" w:sz="8" w:color="auto"/>
            </w:tcBorders>
            <w:shd w:val="clear" w:color="auto" w:fill="FFC000"/>
          </w:tcPr>
          <w:p>
            <w:pPr>
              <w:ind w:left="100"/>
              <w:spacing w:after="0"/>
              <w:rPr>
                <w:sz w:val="20"/>
                <w:szCs w:val="20"/>
                <w:color w:val="auto"/>
              </w:rPr>
            </w:pPr>
            <w:r>
              <w:rPr>
                <w:rFonts w:ascii="Times New Roman" w:cs="Times New Roman" w:eastAsia="Times New Roman" w:hAnsi="Times New Roman"/>
                <w:sz w:val="24"/>
                <w:szCs w:val="24"/>
                <w:b w:val="1"/>
                <w:bCs w:val="1"/>
                <w:color w:val="auto"/>
              </w:rPr>
              <w:t>Période/Echéance</w:t>
            </w:r>
          </w:p>
        </w:tc>
      </w:tr>
      <w:tr>
        <w:trPr>
          <w:trHeight w:val="258"/>
        </w:trPr>
        <w:tc>
          <w:tcPr>
            <w:tcW w:w="380" w:type="dxa"/>
            <w:vAlign w:val="bottom"/>
            <w:tcBorders>
              <w:top w:val="single" w:sz="8" w:color="auto"/>
              <w:left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1.</w:t>
            </w:r>
          </w:p>
        </w:tc>
        <w:tc>
          <w:tcPr>
            <w:tcW w:w="5840" w:type="dxa"/>
            <w:vAlign w:val="bottom"/>
            <w:tcBorders>
              <w:top w:val="single" w:sz="8" w:color="auto"/>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Finalisation des termes de références pour le recrutement</w:t>
            </w:r>
          </w:p>
        </w:tc>
        <w:tc>
          <w:tcPr>
            <w:tcW w:w="3000" w:type="dxa"/>
            <w:vAlign w:val="bottom"/>
            <w:tcBorders>
              <w:top w:val="single" w:sz="8" w:color="auto"/>
              <w:right w:val="single" w:sz="8" w:color="auto"/>
            </w:tcBorders>
          </w:tcPr>
          <w:p>
            <w:pPr>
              <w:ind w:left="100"/>
              <w:spacing w:after="0" w:line="258" w:lineRule="exact"/>
              <w:rPr>
                <w:sz w:val="20"/>
                <w:szCs w:val="20"/>
                <w:color w:val="auto"/>
              </w:rPr>
            </w:pPr>
            <w:r>
              <w:rPr>
                <w:rFonts w:ascii="Times New Roman" w:cs="Times New Roman" w:eastAsia="Times New Roman" w:hAnsi="Times New Roman"/>
                <w:sz w:val="24"/>
                <w:szCs w:val="24"/>
                <w:color w:val="auto"/>
              </w:rPr>
              <w:t>5 juillet 2022</w:t>
            </w:r>
          </w:p>
        </w:tc>
      </w:tr>
      <w:tr>
        <w:trPr>
          <w:trHeight w:val="319"/>
        </w:trPr>
        <w:tc>
          <w:tcPr>
            <w:tcW w:w="380" w:type="dxa"/>
            <w:vAlign w:val="bottom"/>
            <w:tcBorders>
              <w:left w:val="single" w:sz="8" w:color="auto"/>
            </w:tcBorders>
          </w:tcPr>
          <w:p>
            <w:pPr>
              <w:spacing w:after="0"/>
              <w:rPr>
                <w:sz w:val="24"/>
                <w:szCs w:val="24"/>
                <w:color w:val="auto"/>
              </w:rPr>
            </w:pPr>
          </w:p>
        </w:tc>
        <w:tc>
          <w:tcPr>
            <w:tcW w:w="5840" w:type="dxa"/>
            <w:vAlign w:val="bottom"/>
            <w:tcBorders>
              <w:right w:val="single" w:sz="8" w:color="auto"/>
            </w:tcBorders>
            <w:gridSpan w:val="2"/>
          </w:tcPr>
          <w:p>
            <w:pPr>
              <w:ind w:left="100"/>
              <w:spacing w:after="0"/>
              <w:rPr>
                <w:sz w:val="20"/>
                <w:szCs w:val="20"/>
                <w:color w:val="auto"/>
              </w:rPr>
            </w:pPr>
            <w:r>
              <w:rPr>
                <w:rFonts w:ascii="Times New Roman" w:cs="Times New Roman" w:eastAsia="Times New Roman" w:hAnsi="Times New Roman"/>
                <w:sz w:val="24"/>
                <w:szCs w:val="24"/>
                <w:color w:val="auto"/>
              </w:rPr>
              <w:t>des consultants</w:t>
            </w:r>
          </w:p>
        </w:tc>
        <w:tc>
          <w:tcPr>
            <w:tcW w:w="3000" w:type="dxa"/>
            <w:vAlign w:val="bottom"/>
            <w:tcBorders>
              <w:right w:val="single" w:sz="8" w:color="auto"/>
            </w:tcBorders>
          </w:tcPr>
          <w:p>
            <w:pPr>
              <w:spacing w:after="0"/>
              <w:rPr>
                <w:sz w:val="24"/>
                <w:szCs w:val="24"/>
                <w:color w:val="auto"/>
              </w:rPr>
            </w:pPr>
          </w:p>
        </w:tc>
      </w:tr>
      <w:tr>
        <w:trPr>
          <w:trHeight w:val="48"/>
        </w:trPr>
        <w:tc>
          <w:tcPr>
            <w:tcW w:w="380" w:type="dxa"/>
            <w:vAlign w:val="bottom"/>
            <w:tcBorders>
              <w:left w:val="single" w:sz="8" w:color="auto"/>
              <w:bottom w:val="single" w:sz="8" w:color="auto"/>
            </w:tcBorders>
          </w:tcPr>
          <w:p>
            <w:pPr>
              <w:spacing w:after="0"/>
              <w:rPr>
                <w:sz w:val="4"/>
                <w:szCs w:val="4"/>
                <w:color w:val="auto"/>
              </w:rPr>
            </w:pPr>
          </w:p>
        </w:tc>
        <w:tc>
          <w:tcPr>
            <w:tcW w:w="5840" w:type="dxa"/>
            <w:vAlign w:val="bottom"/>
            <w:tcBorders>
              <w:bottom w:val="single" w:sz="8" w:color="auto"/>
              <w:right w:val="single" w:sz="8" w:color="auto"/>
            </w:tcBorders>
            <w:gridSpan w:val="2"/>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r>
        <w:trPr>
          <w:trHeight w:val="258"/>
        </w:trPr>
        <w:tc>
          <w:tcPr>
            <w:tcW w:w="380" w:type="dxa"/>
            <w:vAlign w:val="bottom"/>
            <w:tcBorders>
              <w:left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2.</w:t>
            </w:r>
          </w:p>
        </w:tc>
        <w:tc>
          <w:tcPr>
            <w:tcW w:w="5840" w:type="dxa"/>
            <w:vAlign w:val="bottom"/>
            <w:tcBorders>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Publication de l’avis de recrutement</w:t>
            </w:r>
          </w:p>
        </w:tc>
        <w:tc>
          <w:tcPr>
            <w:tcW w:w="3000" w:type="dxa"/>
            <w:vAlign w:val="bottom"/>
            <w:tcBorders>
              <w:right w:val="single" w:sz="8" w:color="auto"/>
            </w:tcBorders>
          </w:tcPr>
          <w:p>
            <w:pPr>
              <w:ind w:left="100"/>
              <w:spacing w:after="0" w:line="258" w:lineRule="exact"/>
              <w:rPr>
                <w:sz w:val="20"/>
                <w:szCs w:val="20"/>
                <w:color w:val="auto"/>
              </w:rPr>
            </w:pPr>
            <w:r>
              <w:rPr>
                <w:rFonts w:ascii="Times New Roman" w:cs="Times New Roman" w:eastAsia="Times New Roman" w:hAnsi="Times New Roman"/>
                <w:sz w:val="24"/>
                <w:szCs w:val="24"/>
                <w:color w:val="auto"/>
              </w:rPr>
              <w:t>5-22 juillet 2022</w:t>
            </w:r>
          </w:p>
        </w:tc>
      </w:tr>
      <w:tr>
        <w:trPr>
          <w:trHeight w:val="48"/>
        </w:trPr>
        <w:tc>
          <w:tcPr>
            <w:tcW w:w="380" w:type="dxa"/>
            <w:vAlign w:val="bottom"/>
            <w:tcBorders>
              <w:left w:val="single" w:sz="8" w:color="auto"/>
              <w:bottom w:val="single" w:sz="8" w:color="auto"/>
            </w:tcBorders>
          </w:tcPr>
          <w:p>
            <w:pPr>
              <w:spacing w:after="0"/>
              <w:rPr>
                <w:sz w:val="4"/>
                <w:szCs w:val="4"/>
                <w:color w:val="auto"/>
              </w:rPr>
            </w:pPr>
          </w:p>
        </w:tc>
        <w:tc>
          <w:tcPr>
            <w:tcW w:w="5840" w:type="dxa"/>
            <w:vAlign w:val="bottom"/>
            <w:tcBorders>
              <w:bottom w:val="single" w:sz="8" w:color="auto"/>
              <w:right w:val="single" w:sz="8" w:color="auto"/>
            </w:tcBorders>
            <w:gridSpan w:val="2"/>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r>
        <w:trPr>
          <w:trHeight w:val="258"/>
        </w:trPr>
        <w:tc>
          <w:tcPr>
            <w:tcW w:w="380" w:type="dxa"/>
            <w:vAlign w:val="bottom"/>
            <w:tcBorders>
              <w:left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3.</w:t>
            </w:r>
          </w:p>
        </w:tc>
        <w:tc>
          <w:tcPr>
            <w:tcW w:w="5840" w:type="dxa"/>
            <w:vAlign w:val="bottom"/>
            <w:tcBorders>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Evaluation des offres</w:t>
            </w:r>
          </w:p>
        </w:tc>
        <w:tc>
          <w:tcPr>
            <w:tcW w:w="3000" w:type="dxa"/>
            <w:vAlign w:val="bottom"/>
            <w:tcBorders>
              <w:right w:val="single" w:sz="8" w:color="auto"/>
            </w:tcBorders>
          </w:tcPr>
          <w:p>
            <w:pPr>
              <w:ind w:left="100"/>
              <w:spacing w:after="0" w:line="258" w:lineRule="exact"/>
              <w:rPr>
                <w:sz w:val="20"/>
                <w:szCs w:val="20"/>
                <w:color w:val="auto"/>
              </w:rPr>
            </w:pPr>
            <w:r>
              <w:rPr>
                <w:rFonts w:ascii="Times New Roman" w:cs="Times New Roman" w:eastAsia="Times New Roman" w:hAnsi="Times New Roman"/>
                <w:sz w:val="24"/>
                <w:szCs w:val="24"/>
                <w:color w:val="auto"/>
              </w:rPr>
              <w:t>22-31 juillet 2022</w:t>
            </w:r>
          </w:p>
        </w:tc>
      </w:tr>
      <w:tr>
        <w:trPr>
          <w:trHeight w:val="51"/>
        </w:trPr>
        <w:tc>
          <w:tcPr>
            <w:tcW w:w="380" w:type="dxa"/>
            <w:vAlign w:val="bottom"/>
            <w:tcBorders>
              <w:left w:val="single" w:sz="8" w:color="auto"/>
              <w:bottom w:val="single" w:sz="8" w:color="auto"/>
            </w:tcBorders>
          </w:tcPr>
          <w:p>
            <w:pPr>
              <w:spacing w:after="0"/>
              <w:rPr>
                <w:sz w:val="4"/>
                <w:szCs w:val="4"/>
                <w:color w:val="auto"/>
              </w:rPr>
            </w:pPr>
          </w:p>
        </w:tc>
        <w:tc>
          <w:tcPr>
            <w:tcW w:w="5840" w:type="dxa"/>
            <w:vAlign w:val="bottom"/>
            <w:tcBorders>
              <w:bottom w:val="single" w:sz="8" w:color="auto"/>
              <w:right w:val="single" w:sz="8" w:color="auto"/>
            </w:tcBorders>
            <w:gridSpan w:val="2"/>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r>
        <w:trPr>
          <w:trHeight w:val="258"/>
        </w:trPr>
        <w:tc>
          <w:tcPr>
            <w:tcW w:w="380" w:type="dxa"/>
            <w:vAlign w:val="bottom"/>
            <w:tcBorders>
              <w:left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4.</w:t>
            </w:r>
          </w:p>
        </w:tc>
        <w:tc>
          <w:tcPr>
            <w:tcW w:w="5840" w:type="dxa"/>
            <w:vAlign w:val="bottom"/>
            <w:tcBorders>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Contractualisation et rencontre de cadrage</w:t>
            </w:r>
          </w:p>
        </w:tc>
        <w:tc>
          <w:tcPr>
            <w:tcW w:w="3000" w:type="dxa"/>
            <w:vAlign w:val="bottom"/>
            <w:tcBorders>
              <w:right w:val="single" w:sz="8" w:color="auto"/>
            </w:tcBorders>
          </w:tcPr>
          <w:p>
            <w:pPr>
              <w:ind w:left="100"/>
              <w:spacing w:after="0" w:line="258" w:lineRule="exact"/>
              <w:rPr>
                <w:sz w:val="20"/>
                <w:szCs w:val="20"/>
                <w:color w:val="auto"/>
              </w:rPr>
            </w:pPr>
            <w:r>
              <w:rPr>
                <w:rFonts w:ascii="Times New Roman" w:cs="Times New Roman" w:eastAsia="Times New Roman" w:hAnsi="Times New Roman"/>
                <w:sz w:val="24"/>
                <w:szCs w:val="24"/>
                <w:color w:val="auto"/>
              </w:rPr>
              <w:t>1-5 Août 2022</w:t>
            </w:r>
          </w:p>
        </w:tc>
      </w:tr>
      <w:tr>
        <w:trPr>
          <w:trHeight w:val="48"/>
        </w:trPr>
        <w:tc>
          <w:tcPr>
            <w:tcW w:w="380" w:type="dxa"/>
            <w:vAlign w:val="bottom"/>
            <w:tcBorders>
              <w:left w:val="single" w:sz="8" w:color="auto"/>
              <w:bottom w:val="single" w:sz="8" w:color="auto"/>
            </w:tcBorders>
          </w:tcPr>
          <w:p>
            <w:pPr>
              <w:spacing w:after="0"/>
              <w:rPr>
                <w:sz w:val="4"/>
                <w:szCs w:val="4"/>
                <w:color w:val="auto"/>
              </w:rPr>
            </w:pPr>
          </w:p>
        </w:tc>
        <w:tc>
          <w:tcPr>
            <w:tcW w:w="5840" w:type="dxa"/>
            <w:vAlign w:val="bottom"/>
            <w:tcBorders>
              <w:bottom w:val="single" w:sz="8" w:color="auto"/>
              <w:right w:val="single" w:sz="8" w:color="auto"/>
            </w:tcBorders>
            <w:gridSpan w:val="2"/>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r>
        <w:trPr>
          <w:trHeight w:val="258"/>
        </w:trPr>
        <w:tc>
          <w:tcPr>
            <w:tcW w:w="380" w:type="dxa"/>
            <w:vAlign w:val="bottom"/>
            <w:tcBorders>
              <w:left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5.</w:t>
            </w:r>
          </w:p>
        </w:tc>
        <w:tc>
          <w:tcPr>
            <w:tcW w:w="5840" w:type="dxa"/>
            <w:vAlign w:val="bottom"/>
            <w:tcBorders>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Réunion de cadrage</w:t>
            </w:r>
          </w:p>
        </w:tc>
        <w:tc>
          <w:tcPr>
            <w:tcW w:w="3000" w:type="dxa"/>
            <w:vAlign w:val="bottom"/>
            <w:tcBorders>
              <w:right w:val="single" w:sz="8" w:color="auto"/>
            </w:tcBorders>
          </w:tcPr>
          <w:p>
            <w:pPr>
              <w:ind w:left="100"/>
              <w:spacing w:after="0" w:line="258" w:lineRule="exact"/>
              <w:rPr>
                <w:sz w:val="20"/>
                <w:szCs w:val="20"/>
                <w:color w:val="auto"/>
              </w:rPr>
            </w:pPr>
            <w:r>
              <w:rPr>
                <w:rFonts w:ascii="Times New Roman" w:cs="Times New Roman" w:eastAsia="Times New Roman" w:hAnsi="Times New Roman"/>
                <w:sz w:val="24"/>
                <w:szCs w:val="24"/>
                <w:color w:val="auto"/>
              </w:rPr>
              <w:t>12 Août 2022</w:t>
            </w:r>
          </w:p>
        </w:tc>
      </w:tr>
      <w:tr>
        <w:trPr>
          <w:trHeight w:val="48"/>
        </w:trPr>
        <w:tc>
          <w:tcPr>
            <w:tcW w:w="380" w:type="dxa"/>
            <w:vAlign w:val="bottom"/>
            <w:tcBorders>
              <w:left w:val="single" w:sz="8" w:color="auto"/>
              <w:bottom w:val="single" w:sz="8" w:color="auto"/>
            </w:tcBorders>
          </w:tcPr>
          <w:p>
            <w:pPr>
              <w:spacing w:after="0"/>
              <w:rPr>
                <w:sz w:val="4"/>
                <w:szCs w:val="4"/>
                <w:color w:val="auto"/>
              </w:rPr>
            </w:pPr>
          </w:p>
        </w:tc>
        <w:tc>
          <w:tcPr>
            <w:tcW w:w="5840" w:type="dxa"/>
            <w:vAlign w:val="bottom"/>
            <w:tcBorders>
              <w:bottom w:val="single" w:sz="8" w:color="auto"/>
              <w:right w:val="single" w:sz="8" w:color="auto"/>
            </w:tcBorders>
            <w:gridSpan w:val="2"/>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r>
        <w:trPr>
          <w:trHeight w:val="260"/>
        </w:trPr>
        <w:tc>
          <w:tcPr>
            <w:tcW w:w="380" w:type="dxa"/>
            <w:vAlign w:val="bottom"/>
            <w:tcBorders>
              <w:left w:val="single" w:sz="8" w:color="auto"/>
            </w:tcBorders>
          </w:tcPr>
          <w:p>
            <w:pPr>
              <w:ind w:left="120"/>
              <w:spacing w:after="0" w:line="260" w:lineRule="exact"/>
              <w:rPr>
                <w:sz w:val="20"/>
                <w:szCs w:val="20"/>
                <w:color w:val="auto"/>
              </w:rPr>
            </w:pPr>
            <w:r>
              <w:rPr>
                <w:rFonts w:ascii="Times New Roman" w:cs="Times New Roman" w:eastAsia="Times New Roman" w:hAnsi="Times New Roman"/>
                <w:sz w:val="24"/>
                <w:szCs w:val="24"/>
                <w:color w:val="auto"/>
              </w:rPr>
              <w:t>6.</w:t>
            </w:r>
          </w:p>
        </w:tc>
        <w:tc>
          <w:tcPr>
            <w:tcW w:w="5840" w:type="dxa"/>
            <w:vAlign w:val="bottom"/>
            <w:tcBorders>
              <w:right w:val="single" w:sz="8" w:color="auto"/>
            </w:tcBorders>
            <w:gridSpan w:val="2"/>
          </w:tcPr>
          <w:p>
            <w:pPr>
              <w:ind w:left="100"/>
              <w:spacing w:after="0" w:line="260" w:lineRule="exact"/>
              <w:rPr>
                <w:sz w:val="20"/>
                <w:szCs w:val="20"/>
                <w:color w:val="auto"/>
              </w:rPr>
            </w:pPr>
            <w:r>
              <w:rPr>
                <w:rFonts w:ascii="Times New Roman" w:cs="Times New Roman" w:eastAsia="Times New Roman" w:hAnsi="Times New Roman"/>
                <w:sz w:val="24"/>
                <w:szCs w:val="24"/>
                <w:color w:val="auto"/>
              </w:rPr>
              <w:t>Soumission du rapport de démarrage</w:t>
            </w:r>
          </w:p>
        </w:tc>
        <w:tc>
          <w:tcPr>
            <w:tcW w:w="3000" w:type="dxa"/>
            <w:vAlign w:val="bottom"/>
            <w:tcBorders>
              <w:right w:val="single" w:sz="8" w:color="auto"/>
            </w:tcBorders>
          </w:tcPr>
          <w:p>
            <w:pPr>
              <w:ind w:left="100"/>
              <w:spacing w:after="0" w:line="260" w:lineRule="exact"/>
              <w:rPr>
                <w:sz w:val="20"/>
                <w:szCs w:val="20"/>
                <w:color w:val="auto"/>
              </w:rPr>
            </w:pPr>
            <w:r>
              <w:rPr>
                <w:rFonts w:ascii="Times New Roman" w:cs="Times New Roman" w:eastAsia="Times New Roman" w:hAnsi="Times New Roman"/>
                <w:sz w:val="24"/>
                <w:szCs w:val="24"/>
                <w:color w:val="auto"/>
              </w:rPr>
              <w:t>26 Août 2022</w:t>
            </w:r>
          </w:p>
        </w:tc>
      </w:tr>
      <w:tr>
        <w:trPr>
          <w:trHeight w:val="48"/>
        </w:trPr>
        <w:tc>
          <w:tcPr>
            <w:tcW w:w="380" w:type="dxa"/>
            <w:vAlign w:val="bottom"/>
            <w:tcBorders>
              <w:left w:val="single" w:sz="8" w:color="auto"/>
              <w:bottom w:val="single" w:sz="8" w:color="auto"/>
            </w:tcBorders>
          </w:tcPr>
          <w:p>
            <w:pPr>
              <w:spacing w:after="0"/>
              <w:rPr>
                <w:sz w:val="4"/>
                <w:szCs w:val="4"/>
                <w:color w:val="auto"/>
              </w:rPr>
            </w:pPr>
          </w:p>
        </w:tc>
        <w:tc>
          <w:tcPr>
            <w:tcW w:w="5840" w:type="dxa"/>
            <w:vAlign w:val="bottom"/>
            <w:tcBorders>
              <w:bottom w:val="single" w:sz="8" w:color="auto"/>
              <w:right w:val="single" w:sz="8" w:color="auto"/>
            </w:tcBorders>
            <w:gridSpan w:val="2"/>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r>
        <w:trPr>
          <w:trHeight w:val="306"/>
        </w:trPr>
        <w:tc>
          <w:tcPr>
            <w:tcW w:w="380" w:type="dxa"/>
            <w:vAlign w:val="bottom"/>
            <w:tcBorders>
              <w:left w:val="single" w:sz="8" w:color="auto"/>
              <w:bottom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7.</w:t>
            </w:r>
          </w:p>
        </w:tc>
        <w:tc>
          <w:tcPr>
            <w:tcW w:w="5840" w:type="dxa"/>
            <w:vAlign w:val="bottom"/>
            <w:tcBorders>
              <w:bottom w:val="single" w:sz="8" w:color="auto"/>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Phase de terrain</w:t>
            </w:r>
          </w:p>
        </w:tc>
        <w:tc>
          <w:tcPr>
            <w:tcW w:w="3000" w:type="dxa"/>
            <w:vAlign w:val="bottom"/>
            <w:tcBorders>
              <w:bottom w:val="single" w:sz="8" w:color="auto"/>
              <w:right w:val="single" w:sz="8" w:color="auto"/>
            </w:tcBorders>
          </w:tcPr>
          <w:p>
            <w:pPr>
              <w:ind w:left="100"/>
              <w:spacing w:after="0" w:line="258" w:lineRule="exact"/>
              <w:rPr>
                <w:sz w:val="20"/>
                <w:szCs w:val="20"/>
                <w:color w:val="auto"/>
              </w:rPr>
            </w:pPr>
            <w:r>
              <w:rPr>
                <w:rFonts w:ascii="Times New Roman" w:cs="Times New Roman" w:eastAsia="Times New Roman" w:hAnsi="Times New Roman"/>
                <w:sz w:val="24"/>
                <w:szCs w:val="24"/>
                <w:color w:val="auto"/>
              </w:rPr>
              <w:t>Septembre 2022</w:t>
            </w:r>
          </w:p>
        </w:tc>
      </w:tr>
      <w:tr>
        <w:trPr>
          <w:trHeight w:val="258"/>
        </w:trPr>
        <w:tc>
          <w:tcPr>
            <w:tcW w:w="380" w:type="dxa"/>
            <w:vAlign w:val="bottom"/>
            <w:tcBorders>
              <w:left w:val="single" w:sz="8" w:color="auto"/>
            </w:tcBorders>
          </w:tcPr>
          <w:p>
            <w:pPr>
              <w:ind w:left="120"/>
              <w:spacing w:after="0" w:line="258" w:lineRule="exact"/>
              <w:rPr>
                <w:sz w:val="20"/>
                <w:szCs w:val="20"/>
                <w:color w:val="auto"/>
              </w:rPr>
            </w:pPr>
            <w:r>
              <w:rPr>
                <w:rFonts w:ascii="Times New Roman" w:cs="Times New Roman" w:eastAsia="Times New Roman" w:hAnsi="Times New Roman"/>
                <w:sz w:val="24"/>
                <w:szCs w:val="24"/>
                <w:color w:val="auto"/>
              </w:rPr>
              <w:t>8.</w:t>
            </w:r>
          </w:p>
        </w:tc>
        <w:tc>
          <w:tcPr>
            <w:tcW w:w="5840" w:type="dxa"/>
            <w:vAlign w:val="bottom"/>
            <w:tcBorders>
              <w:right w:val="single" w:sz="8" w:color="auto"/>
            </w:tcBorders>
            <w:gridSpan w:val="2"/>
          </w:tcPr>
          <w:p>
            <w:pPr>
              <w:ind w:left="100"/>
              <w:spacing w:after="0" w:line="258" w:lineRule="exact"/>
              <w:rPr>
                <w:sz w:val="20"/>
                <w:szCs w:val="20"/>
                <w:color w:val="auto"/>
              </w:rPr>
            </w:pPr>
            <w:r>
              <w:rPr>
                <w:rFonts w:ascii="Times New Roman" w:cs="Times New Roman" w:eastAsia="Times New Roman" w:hAnsi="Times New Roman"/>
                <w:sz w:val="24"/>
                <w:szCs w:val="24"/>
                <w:color w:val="auto"/>
              </w:rPr>
              <w:t>Rédaction du rapport d’évaluation</w:t>
            </w:r>
          </w:p>
        </w:tc>
        <w:tc>
          <w:tcPr>
            <w:tcW w:w="3000" w:type="dxa"/>
            <w:vAlign w:val="bottom"/>
            <w:tcBorders>
              <w:right w:val="single" w:sz="8" w:color="auto"/>
            </w:tcBorders>
          </w:tcPr>
          <w:p>
            <w:pPr>
              <w:spacing w:after="0"/>
              <w:rPr>
                <w:sz w:val="22"/>
                <w:szCs w:val="22"/>
                <w:color w:val="auto"/>
              </w:rPr>
            </w:pPr>
          </w:p>
        </w:tc>
      </w:tr>
      <w:tr>
        <w:trPr>
          <w:trHeight w:val="337"/>
        </w:trPr>
        <w:tc>
          <w:tcPr>
            <w:tcW w:w="380" w:type="dxa"/>
            <w:vAlign w:val="bottom"/>
            <w:tcBorders>
              <w:left w:val="single" w:sz="8" w:color="auto"/>
            </w:tcBorders>
          </w:tcPr>
          <w:p>
            <w:pPr>
              <w:spacing w:after="0"/>
              <w:rPr>
                <w:sz w:val="24"/>
                <w:szCs w:val="24"/>
                <w:color w:val="auto"/>
              </w:rPr>
            </w:pPr>
          </w:p>
        </w:tc>
        <w:tc>
          <w:tcPr>
            <w:tcW w:w="320" w:type="dxa"/>
            <w:vAlign w:val="bottom"/>
          </w:tcPr>
          <w:p>
            <w:pPr>
              <w:spacing w:after="0"/>
              <w:rPr>
                <w:sz w:val="24"/>
                <w:szCs w:val="24"/>
                <w:color w:val="auto"/>
              </w:rPr>
            </w:pPr>
          </w:p>
        </w:tc>
        <w:tc>
          <w:tcPr>
            <w:tcW w:w="552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4"/>
                <w:szCs w:val="24"/>
                <w:color w:val="auto"/>
              </w:rPr>
              <w:t>Rapport provisoire</w:t>
            </w:r>
          </w:p>
        </w:tc>
        <w:tc>
          <w:tcPr>
            <w:tcW w:w="30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4"/>
                <w:szCs w:val="24"/>
                <w:color w:val="auto"/>
              </w:rPr>
              <w:t>Octobre 2022</w:t>
            </w:r>
          </w:p>
        </w:tc>
      </w:tr>
      <w:tr>
        <w:trPr>
          <w:trHeight w:val="334"/>
        </w:trPr>
        <w:tc>
          <w:tcPr>
            <w:tcW w:w="380" w:type="dxa"/>
            <w:vAlign w:val="bottom"/>
            <w:tcBorders>
              <w:left w:val="single" w:sz="8" w:color="auto"/>
            </w:tcBorders>
          </w:tcPr>
          <w:p>
            <w:pPr>
              <w:spacing w:after="0"/>
              <w:rPr>
                <w:sz w:val="24"/>
                <w:szCs w:val="24"/>
                <w:color w:val="auto"/>
              </w:rPr>
            </w:pPr>
          </w:p>
        </w:tc>
        <w:tc>
          <w:tcPr>
            <w:tcW w:w="320" w:type="dxa"/>
            <w:vAlign w:val="bottom"/>
          </w:tcPr>
          <w:p>
            <w:pPr>
              <w:spacing w:after="0"/>
              <w:rPr>
                <w:sz w:val="24"/>
                <w:szCs w:val="24"/>
                <w:color w:val="auto"/>
              </w:rPr>
            </w:pPr>
          </w:p>
        </w:tc>
        <w:tc>
          <w:tcPr>
            <w:tcW w:w="552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4"/>
                <w:szCs w:val="24"/>
                <w:color w:val="auto"/>
              </w:rPr>
              <w:t>Rapport final</w:t>
            </w:r>
          </w:p>
        </w:tc>
        <w:tc>
          <w:tcPr>
            <w:tcW w:w="3000" w:type="dxa"/>
            <w:vAlign w:val="bottom"/>
            <w:tcBorders>
              <w:right w:val="single" w:sz="8" w:color="auto"/>
            </w:tcBorders>
          </w:tcPr>
          <w:p>
            <w:pPr>
              <w:spacing w:after="0"/>
              <w:rPr>
                <w:sz w:val="24"/>
                <w:szCs w:val="24"/>
                <w:color w:val="auto"/>
              </w:rPr>
            </w:pPr>
          </w:p>
        </w:tc>
      </w:tr>
      <w:tr>
        <w:trPr>
          <w:trHeight w:val="51"/>
        </w:trPr>
        <w:tc>
          <w:tcPr>
            <w:tcW w:w="380" w:type="dxa"/>
            <w:vAlign w:val="bottom"/>
            <w:tcBorders>
              <w:left w:val="single" w:sz="8" w:color="auto"/>
              <w:bottom w:val="single" w:sz="8" w:color="auto"/>
            </w:tcBorders>
          </w:tcPr>
          <w:p>
            <w:pPr>
              <w:spacing w:after="0"/>
              <w:rPr>
                <w:sz w:val="4"/>
                <w:szCs w:val="4"/>
                <w:color w:val="auto"/>
              </w:rPr>
            </w:pPr>
          </w:p>
        </w:tc>
        <w:tc>
          <w:tcPr>
            <w:tcW w:w="320" w:type="dxa"/>
            <w:vAlign w:val="bottom"/>
            <w:tcBorders>
              <w:bottom w:val="single" w:sz="8" w:color="auto"/>
            </w:tcBorders>
          </w:tcPr>
          <w:p>
            <w:pPr>
              <w:spacing w:after="0"/>
              <w:rPr>
                <w:sz w:val="4"/>
                <w:szCs w:val="4"/>
                <w:color w:val="auto"/>
              </w:rPr>
            </w:pPr>
          </w:p>
        </w:tc>
        <w:tc>
          <w:tcPr>
            <w:tcW w:w="5520" w:type="dxa"/>
            <w:vAlign w:val="bottom"/>
            <w:tcBorders>
              <w:bottom w:val="single" w:sz="8" w:color="auto"/>
              <w:right w:val="single" w:sz="8" w:color="auto"/>
            </w:tcBorders>
          </w:tcPr>
          <w:p>
            <w:pPr>
              <w:spacing w:after="0"/>
              <w:rPr>
                <w:sz w:val="4"/>
                <w:szCs w:val="4"/>
                <w:color w:val="auto"/>
              </w:rPr>
            </w:pPr>
          </w:p>
        </w:tc>
        <w:tc>
          <w:tcPr>
            <w:tcW w:w="3000" w:type="dxa"/>
            <w:vAlign w:val="bottom"/>
            <w:tcBorders>
              <w:bottom w:val="single" w:sz="8" w:color="auto"/>
              <w:right w:val="single" w:sz="8" w:color="auto"/>
            </w:tcBorders>
          </w:tcPr>
          <w:p>
            <w:pPr>
              <w:spacing w:after="0"/>
              <w:rPr>
                <w:sz w:val="4"/>
                <w:szCs w:val="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5846445</wp:posOffset>
                </wp:positionH>
                <wp:positionV relativeFrom="paragraph">
                  <wp:posOffset>-643255</wp:posOffset>
                </wp:positionV>
                <wp:extent cx="12700" cy="1270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10" o:spid="_x0000_s1035" style="position:absolute;margin-left:460.35pt;margin-top:-50.6499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200" w:lineRule="exact"/>
        <w:rPr>
          <w:sz w:val="20"/>
          <w:szCs w:val="20"/>
          <w:color w:val="auto"/>
        </w:rPr>
      </w:pPr>
    </w:p>
    <w:p>
      <w:pPr>
        <w:spacing w:after="0" w:line="334" w:lineRule="exact"/>
        <w:rPr>
          <w:sz w:val="20"/>
          <w:szCs w:val="20"/>
          <w:color w:val="auto"/>
        </w:rPr>
      </w:pPr>
    </w:p>
    <w:p>
      <w:pPr>
        <w:ind w:left="283" w:hanging="283"/>
        <w:spacing w:after="0"/>
        <w:tabs>
          <w:tab w:leader="none" w:pos="283" w:val="left"/>
        </w:tabs>
        <w:numPr>
          <w:ilvl w:val="0"/>
          <w:numId w:val="13"/>
        </w:numPr>
        <w:rPr>
          <w:rFonts w:ascii="Times New Roman" w:cs="Times New Roman" w:eastAsia="Times New Roman" w:hAnsi="Times New Roman"/>
          <w:sz w:val="24"/>
          <w:szCs w:val="24"/>
          <w:b w:val="1"/>
          <w:bCs w:val="1"/>
          <w:color w:val="002060"/>
        </w:rPr>
      </w:pPr>
      <w:r>
        <w:rPr>
          <w:rFonts w:ascii="Times New Roman" w:cs="Times New Roman" w:eastAsia="Times New Roman" w:hAnsi="Times New Roman"/>
          <w:sz w:val="24"/>
          <w:szCs w:val="24"/>
          <w:b w:val="1"/>
          <w:bCs w:val="1"/>
          <w:color w:val="002060"/>
        </w:rPr>
        <w:t>Dossier de candidature et présentation de l’offre</w:t>
      </w:r>
    </w:p>
    <w:p>
      <w:pPr>
        <w:spacing w:after="0" w:line="168" w:lineRule="exact"/>
        <w:rPr>
          <w:sz w:val="20"/>
          <w:szCs w:val="20"/>
          <w:color w:val="auto"/>
        </w:rPr>
      </w:pPr>
    </w:p>
    <w:p>
      <w:pPr>
        <w:ind w:left="3" w:right="20"/>
        <w:spacing w:after="0" w:line="264" w:lineRule="auto"/>
        <w:rPr>
          <w:sz w:val="20"/>
          <w:szCs w:val="20"/>
          <w:color w:val="auto"/>
        </w:rPr>
      </w:pPr>
      <w:r>
        <w:rPr>
          <w:rFonts w:ascii="Times New Roman" w:cs="Times New Roman" w:eastAsia="Times New Roman" w:hAnsi="Times New Roman"/>
          <w:sz w:val="24"/>
          <w:szCs w:val="24"/>
          <w:color w:val="auto"/>
        </w:rPr>
        <w:t xml:space="preserve">Les dossiers de candidature des bureaux d’études intéressés devront être composés d’une </w:t>
      </w:r>
      <w:r>
        <w:rPr>
          <w:rFonts w:ascii="Times New Roman" w:cs="Times New Roman" w:eastAsia="Times New Roman" w:hAnsi="Times New Roman"/>
          <w:sz w:val="24"/>
          <w:szCs w:val="24"/>
          <w:b w:val="1"/>
          <w:bCs w:val="1"/>
          <w:color w:val="auto"/>
        </w:rPr>
        <w:t>offre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technique </w:t>
      </w:r>
      <w:r>
        <w:rPr>
          <w:rFonts w:ascii="Times New Roman" w:cs="Times New Roman" w:eastAsia="Times New Roman" w:hAnsi="Times New Roman"/>
          <w:sz w:val="24"/>
          <w:szCs w:val="24"/>
          <w:color w:val="auto"/>
        </w:rPr>
        <w:t>et une</w:t>
      </w:r>
      <w:r>
        <w:rPr>
          <w:rFonts w:ascii="Times New Roman" w:cs="Times New Roman" w:eastAsia="Times New Roman" w:hAnsi="Times New Roman"/>
          <w:sz w:val="24"/>
          <w:szCs w:val="24"/>
          <w:b w:val="1"/>
          <w:bCs w:val="1"/>
          <w:color w:val="auto"/>
        </w:rPr>
        <w:t xml:space="preserve"> offre financière </w:t>
      </w:r>
      <w:r>
        <w:rPr>
          <w:rFonts w:ascii="Times New Roman" w:cs="Times New Roman" w:eastAsia="Times New Roman" w:hAnsi="Times New Roman"/>
          <w:sz w:val="24"/>
          <w:szCs w:val="24"/>
          <w:color w:val="auto"/>
        </w:rPr>
        <w:t>séparées.</w:t>
      </w:r>
    </w:p>
    <w:p>
      <w:pPr>
        <w:spacing w:after="0" w:line="141"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auto"/>
        </w:rPr>
        <w:t>L’offre technique doit comprendre :</w:t>
      </w:r>
    </w:p>
    <w:p>
      <w:pPr>
        <w:spacing w:after="0" w:line="173" w:lineRule="exact"/>
        <w:rPr>
          <w:sz w:val="20"/>
          <w:szCs w:val="20"/>
          <w:color w:val="auto"/>
        </w:rPr>
      </w:pPr>
    </w:p>
    <w:p>
      <w:pPr>
        <w:ind w:left="723" w:hanging="363"/>
        <w:spacing w:after="0" w:line="250" w:lineRule="auto"/>
        <w:tabs>
          <w:tab w:leader="none" w:pos="723" w:val="left"/>
        </w:tabs>
        <w:numPr>
          <w:ilvl w:val="0"/>
          <w:numId w:val="14"/>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Une lettre de candidature exprimant l’intérêt du bureau d’étude et ses capacités à réaliser cette étude, adressée à Monsieur le Représentant Résident de UNFPA à Ouagadougou ;</w:t>
      </w:r>
    </w:p>
    <w:p>
      <w:pPr>
        <w:spacing w:after="0" w:line="136" w:lineRule="exact"/>
        <w:rPr>
          <w:rFonts w:ascii="Calibri" w:cs="Calibri" w:eastAsia="Calibri" w:hAnsi="Calibri"/>
          <w:sz w:val="24"/>
          <w:szCs w:val="24"/>
          <w:i w:val="1"/>
          <w:iCs w:val="1"/>
          <w:color w:val="auto"/>
        </w:rPr>
      </w:pPr>
    </w:p>
    <w:p>
      <w:pPr>
        <w:ind w:left="723" w:hanging="363"/>
        <w:spacing w:after="0"/>
        <w:tabs>
          <w:tab w:leader="none" w:pos="723" w:val="left"/>
        </w:tabs>
        <w:numPr>
          <w:ilvl w:val="0"/>
          <w:numId w:val="14"/>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Une brève présentation de l’expérience du bureau d’étude dans le domaine de la mission ;</w:t>
      </w:r>
    </w:p>
    <w:p>
      <w:pPr>
        <w:spacing w:after="0" w:line="148" w:lineRule="exact"/>
        <w:rPr>
          <w:rFonts w:ascii="Calibri" w:cs="Calibri" w:eastAsia="Calibri" w:hAnsi="Calibri"/>
          <w:sz w:val="24"/>
          <w:szCs w:val="24"/>
          <w:i w:val="1"/>
          <w:iCs w:val="1"/>
          <w:color w:val="auto"/>
        </w:rPr>
      </w:pPr>
    </w:p>
    <w:p>
      <w:pPr>
        <w:ind w:left="723" w:hanging="363"/>
        <w:spacing w:after="0"/>
        <w:tabs>
          <w:tab w:leader="none" w:pos="723" w:val="left"/>
        </w:tabs>
        <w:numPr>
          <w:ilvl w:val="0"/>
          <w:numId w:val="14"/>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Une note de compréhension des présents termes de référence ;</w:t>
      </w:r>
    </w:p>
    <w:p>
      <w:pPr>
        <w:sectPr>
          <w:pgSz w:w="11900" w:h="16838" w:orient="portrait"/>
          <w:cols w:equalWidth="0" w:num="1">
            <w:col w:w="9383"/>
          </w:cols>
          <w:pgMar w:left="1277" w:top="412" w:right="1246" w:bottom="861" w:gutter="0" w:footer="0" w:header="0"/>
        </w:sectPr>
      </w:pPr>
    </w:p>
    <w:bookmarkStart w:id="6" w:name="page7"/>
    <w:bookmarkEnd w:id="6"/>
    <w:p>
      <w:pPr>
        <w:jc w:val="center"/>
        <w:ind w:right="17"/>
        <w:spacing w:after="0"/>
        <w:rPr>
          <w:sz w:val="20"/>
          <w:szCs w:val="20"/>
          <w:color w:val="auto"/>
        </w:rPr>
      </w:pPr>
      <w:r>
        <w:rPr>
          <w:rFonts w:ascii="Times New Roman" w:cs="Times New Roman" w:eastAsia="Times New Roman" w:hAnsi="Times New Roman"/>
          <w:sz w:val="28"/>
          <w:szCs w:val="28"/>
          <w:b w:val="1"/>
          <w:bCs w:val="1"/>
          <w:color w:val="FFFFFF"/>
        </w:rPr>
        <w:drawing>
          <wp:anchor simplePos="0" relativeHeight="251657728" behindDoc="1" locked="0" layoutInCell="0" allowOverlap="1">
            <wp:simplePos x="0" y="0"/>
            <wp:positionH relativeFrom="page">
              <wp:posOffset>3453765</wp:posOffset>
            </wp:positionH>
            <wp:positionV relativeFrom="page">
              <wp:posOffset>33020</wp:posOffset>
            </wp:positionV>
            <wp:extent cx="652145" cy="6521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652145" cy="652145"/>
                    </a:xfrm>
                    <a:prstGeom prst="rect">
                      <a:avLst/>
                    </a:prstGeom>
                    <a:noFill/>
                  </pic:spPr>
                </pic:pic>
              </a:graphicData>
            </a:graphic>
          </wp:anchor>
        </w:drawing>
        <w:t>7</w:t>
      </w:r>
    </w:p>
    <w:p>
      <w:pPr>
        <w:spacing w:after="0" w:line="379" w:lineRule="exact"/>
        <w:rPr>
          <w:sz w:val="20"/>
          <w:szCs w:val="20"/>
          <w:color w:val="auto"/>
        </w:rPr>
      </w:pPr>
    </w:p>
    <w:p>
      <w:pPr>
        <w:ind w:left="723" w:hanging="363"/>
        <w:spacing w:after="0"/>
        <w:tabs>
          <w:tab w:leader="none" w:pos="723" w:val="left"/>
        </w:tabs>
        <w:numPr>
          <w:ilvl w:val="0"/>
          <w:numId w:val="15"/>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La méthodologique détaillée pour la réalisation de l’étude ;</w:t>
      </w:r>
    </w:p>
    <w:p>
      <w:pPr>
        <w:spacing w:after="0" w:line="151" w:lineRule="exact"/>
        <w:rPr>
          <w:rFonts w:ascii="Calibri" w:cs="Calibri" w:eastAsia="Calibri" w:hAnsi="Calibri"/>
          <w:sz w:val="24"/>
          <w:szCs w:val="24"/>
          <w:i w:val="1"/>
          <w:iCs w:val="1"/>
          <w:color w:val="auto"/>
        </w:rPr>
      </w:pPr>
    </w:p>
    <w:p>
      <w:pPr>
        <w:ind w:left="723" w:hanging="363"/>
        <w:spacing w:after="0"/>
        <w:tabs>
          <w:tab w:leader="none" w:pos="723" w:val="left"/>
        </w:tabs>
        <w:numPr>
          <w:ilvl w:val="0"/>
          <w:numId w:val="15"/>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Un chronogramme détaillé de réalisation de l’étude ;</w:t>
      </w:r>
    </w:p>
    <w:p>
      <w:pPr>
        <w:spacing w:after="0" w:line="148" w:lineRule="exact"/>
        <w:rPr>
          <w:rFonts w:ascii="Calibri" w:cs="Calibri" w:eastAsia="Calibri" w:hAnsi="Calibri"/>
          <w:sz w:val="24"/>
          <w:szCs w:val="24"/>
          <w:i w:val="1"/>
          <w:iCs w:val="1"/>
          <w:color w:val="auto"/>
        </w:rPr>
      </w:pPr>
    </w:p>
    <w:p>
      <w:pPr>
        <w:ind w:left="723" w:hanging="363"/>
        <w:spacing w:after="0"/>
        <w:tabs>
          <w:tab w:leader="none" w:pos="723" w:val="left"/>
        </w:tabs>
        <w:numPr>
          <w:ilvl w:val="0"/>
          <w:numId w:val="15"/>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Les CV à jour de l’expert(e) principal(e) et des experts associés ;</w:t>
      </w:r>
    </w:p>
    <w:p>
      <w:pPr>
        <w:spacing w:after="0" w:line="148" w:lineRule="exact"/>
        <w:rPr>
          <w:rFonts w:ascii="Calibri" w:cs="Calibri" w:eastAsia="Calibri" w:hAnsi="Calibri"/>
          <w:sz w:val="24"/>
          <w:szCs w:val="24"/>
          <w:i w:val="1"/>
          <w:iCs w:val="1"/>
          <w:color w:val="auto"/>
        </w:rPr>
      </w:pPr>
    </w:p>
    <w:p>
      <w:pPr>
        <w:ind w:left="723" w:hanging="363"/>
        <w:spacing w:after="0"/>
        <w:tabs>
          <w:tab w:leader="none" w:pos="723" w:val="left"/>
        </w:tabs>
        <w:numPr>
          <w:ilvl w:val="0"/>
          <w:numId w:val="15"/>
        </w:numPr>
        <w:rPr>
          <w:rFonts w:ascii="Calibri" w:cs="Calibri" w:eastAsia="Calibri" w:hAnsi="Calibri"/>
          <w:sz w:val="24"/>
          <w:szCs w:val="24"/>
          <w:i w:val="1"/>
          <w:iCs w:val="1"/>
          <w:color w:val="auto"/>
        </w:rPr>
      </w:pPr>
      <w:r>
        <w:rPr>
          <w:rFonts w:ascii="Times New Roman" w:cs="Times New Roman" w:eastAsia="Times New Roman" w:hAnsi="Times New Roman"/>
          <w:sz w:val="24"/>
          <w:szCs w:val="24"/>
          <w:color w:val="auto"/>
        </w:rPr>
        <w:t>Au moins deux rapports d’études similaires réalisées par le Bureau.</w:t>
      </w:r>
    </w:p>
    <w:p>
      <w:pPr>
        <w:spacing w:after="0" w:line="166" w:lineRule="exact"/>
        <w:rPr>
          <w:sz w:val="20"/>
          <w:szCs w:val="20"/>
          <w:color w:val="auto"/>
        </w:rPr>
      </w:pPr>
    </w:p>
    <w:p>
      <w:pPr>
        <w:ind w:left="3"/>
        <w:spacing w:after="0"/>
        <w:rPr>
          <w:sz w:val="20"/>
          <w:szCs w:val="20"/>
          <w:color w:val="auto"/>
        </w:rPr>
      </w:pPr>
      <w:r>
        <w:rPr>
          <w:rFonts w:ascii="Times New Roman" w:cs="Times New Roman" w:eastAsia="Times New Roman" w:hAnsi="Times New Roman"/>
          <w:sz w:val="24"/>
          <w:szCs w:val="24"/>
          <w:b w:val="1"/>
          <w:bCs w:val="1"/>
          <w:color w:val="auto"/>
        </w:rPr>
        <w:t>L’offre financière doit comprendre :</w:t>
      </w:r>
    </w:p>
    <w:p>
      <w:pPr>
        <w:spacing w:after="0" w:line="156" w:lineRule="exact"/>
        <w:rPr>
          <w:sz w:val="20"/>
          <w:szCs w:val="20"/>
          <w:color w:val="auto"/>
        </w:rPr>
      </w:pPr>
    </w:p>
    <w:p>
      <w:pPr>
        <w:ind w:left="843" w:hanging="368"/>
        <w:spacing w:after="0"/>
        <w:tabs>
          <w:tab w:leader="none" w:pos="843" w:val="left"/>
        </w:tabs>
        <w:numPr>
          <w:ilvl w:val="0"/>
          <w:numId w:val="16"/>
        </w:numPr>
        <w:rPr>
          <w:rFonts w:ascii="Microsoft Sans Serif" w:cs="Microsoft Sans Serif" w:eastAsia="Microsoft Sans Serif" w:hAnsi="Microsoft Sans Serif"/>
          <w:sz w:val="20"/>
          <w:szCs w:val="20"/>
          <w:color w:val="auto"/>
        </w:rPr>
      </w:pPr>
      <w:r>
        <w:rPr>
          <w:rFonts w:ascii="Times New Roman" w:cs="Times New Roman" w:eastAsia="Times New Roman" w:hAnsi="Times New Roman"/>
          <w:sz w:val="24"/>
          <w:szCs w:val="24"/>
          <w:color w:val="auto"/>
        </w:rPr>
        <w:t>La lettre de soumission de proposition financière ;</w:t>
      </w:r>
    </w:p>
    <w:p>
      <w:pPr>
        <w:spacing w:after="0" w:line="160" w:lineRule="exact"/>
        <w:rPr>
          <w:rFonts w:ascii="Microsoft Sans Serif" w:cs="Microsoft Sans Serif" w:eastAsia="Microsoft Sans Serif" w:hAnsi="Microsoft Sans Serif"/>
          <w:sz w:val="20"/>
          <w:szCs w:val="20"/>
          <w:color w:val="auto"/>
        </w:rPr>
      </w:pPr>
    </w:p>
    <w:p>
      <w:pPr>
        <w:ind w:left="843" w:hanging="368"/>
        <w:spacing w:after="0"/>
        <w:tabs>
          <w:tab w:leader="none" w:pos="843" w:val="left"/>
        </w:tabs>
        <w:numPr>
          <w:ilvl w:val="0"/>
          <w:numId w:val="16"/>
        </w:numPr>
        <w:rPr>
          <w:rFonts w:ascii="Microsoft Sans Serif" w:cs="Microsoft Sans Serif" w:eastAsia="Microsoft Sans Serif" w:hAnsi="Microsoft Sans Serif"/>
          <w:sz w:val="20"/>
          <w:szCs w:val="20"/>
          <w:color w:val="auto"/>
        </w:rPr>
      </w:pPr>
      <w:r>
        <w:rPr>
          <w:rFonts w:ascii="Times New Roman" w:cs="Times New Roman" w:eastAsia="Times New Roman" w:hAnsi="Times New Roman"/>
          <w:sz w:val="24"/>
          <w:szCs w:val="24"/>
          <w:color w:val="auto"/>
        </w:rPr>
        <w:t>Le budget estimatif détaillé de l’étude.</w:t>
      </w:r>
    </w:p>
    <w:p>
      <w:pPr>
        <w:spacing w:after="0" w:line="175" w:lineRule="exact"/>
        <w:rPr>
          <w:sz w:val="20"/>
          <w:szCs w:val="20"/>
          <w:color w:val="auto"/>
        </w:rPr>
      </w:pPr>
    </w:p>
    <w:p>
      <w:pPr>
        <w:ind w:left="3"/>
        <w:spacing w:after="0" w:line="264" w:lineRule="auto"/>
        <w:rPr>
          <w:sz w:val="20"/>
          <w:szCs w:val="20"/>
          <w:color w:val="auto"/>
        </w:rPr>
      </w:pPr>
      <w:r>
        <w:rPr>
          <w:rFonts w:ascii="Times New Roman" w:cs="Times New Roman" w:eastAsia="Times New Roman" w:hAnsi="Times New Roman"/>
          <w:sz w:val="24"/>
          <w:szCs w:val="24"/>
          <w:color w:val="auto"/>
        </w:rPr>
        <w:t>L’offre financière doit prendre en compte tous les moyens requis pour assurer la mission demandée, y compris la logistique.</w:t>
      </w:r>
    </w:p>
    <w:p>
      <w:pPr>
        <w:spacing w:after="0" w:line="147" w:lineRule="exact"/>
        <w:rPr>
          <w:sz w:val="20"/>
          <w:szCs w:val="20"/>
          <w:color w:val="auto"/>
        </w:rPr>
      </w:pPr>
    </w:p>
    <w:p>
      <w:pPr>
        <w:ind w:left="3" w:right="20"/>
        <w:spacing w:after="0" w:line="264" w:lineRule="auto"/>
        <w:rPr>
          <w:sz w:val="20"/>
          <w:szCs w:val="20"/>
          <w:color w:val="auto"/>
        </w:rPr>
      </w:pPr>
      <w:r>
        <w:rPr>
          <w:rFonts w:ascii="Times New Roman" w:cs="Times New Roman" w:eastAsia="Times New Roman" w:hAnsi="Times New Roman"/>
          <w:sz w:val="24"/>
          <w:szCs w:val="24"/>
          <w:color w:val="auto"/>
        </w:rPr>
        <w:t>L’évaluation des soumissionnaires sera faite sur la base de leurs offres techniques et financières. L’évaluation des offres se déroule en deux temps : (i) l’évaluation des propositions techniques et</w:t>
      </w:r>
    </w:p>
    <w:p>
      <w:pPr>
        <w:spacing w:after="0" w:line="29" w:lineRule="exact"/>
        <w:rPr>
          <w:sz w:val="20"/>
          <w:szCs w:val="20"/>
          <w:color w:val="auto"/>
        </w:rPr>
      </w:pPr>
    </w:p>
    <w:p>
      <w:pPr>
        <w:jc w:val="both"/>
        <w:ind w:left="3" w:right="20" w:hanging="3"/>
        <w:spacing w:after="0" w:line="287" w:lineRule="auto"/>
        <w:tabs>
          <w:tab w:leader="none" w:pos="363" w:val="left"/>
        </w:tabs>
        <w:numPr>
          <w:ilvl w:val="0"/>
          <w:numId w:val="17"/>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l’évaluation des propositions financières. Toutefois, seules les candidatures ayant obtenu une note technique de 70 points sur 100 sont qualifiées pour l’étape d’évaluation financière. Il convient de noter que l’évaluation technique comptera pour 80% et l’évaluation financière pour 20%.</w:t>
      </w:r>
    </w:p>
    <w:sectPr>
      <w:pgSz w:w="11900" w:h="16838" w:orient="portrait"/>
      <w:cols w:equalWidth="0" w:num="1">
        <w:col w:w="9383"/>
      </w:cols>
      <w:pgMar w:left="1277" w:top="412" w:right="1246"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2000009F" w:csb1="DFD70000"/>
  </w:font>
  <w:font w:name="Microsoft Sans Serif">
    <w:panose1 w:val="020B0604020202020204"/>
    <w:charset w:val="DE"/>
    <w:family w:val="swiss"/>
    <w:pitch w:val="variable"/>
    <w:sig w:usb0="E1002EFF" w:usb1="C000605B" w:usb2="00000029" w:usb3="00000000" w:csb0="200101FF" w:csb1="20280000"/>
  </w:font>
</w:fonts>
</file>

<file path=word/numbering.xml><?xml version="1.0" encoding="utf-8"?>
<w:numbering xmlns:w="http://schemas.openxmlformats.org/wordprocessingml/2006/main">
  <w:abstractNum w:abstractNumId="0">
    <w:nsid w:val="5BD062C2"/>
    <w:multiLevelType w:val="hybridMultilevel"/>
    <w:lvl w:ilvl="0">
      <w:lvlJc w:val="left"/>
      <w:lvlText w:val="à"/>
      <w:numFmt w:val="bullet"/>
      <w:start w:val="1"/>
    </w:lvl>
  </w:abstractNum>
  <w:abstractNum w:abstractNumId="1">
    <w:nsid w:val="12200854"/>
    <w:multiLevelType w:val="hybridMultilevel"/>
    <w:lvl w:ilvl="0">
      <w:lvlJc w:val="left"/>
      <w:lvlText w:val="%1"/>
      <w:numFmt w:val="decimal"/>
      <w:start w:val="1"/>
    </w:lvl>
  </w:abstractNum>
  <w:abstractNum w:abstractNumId="2">
    <w:nsid w:val="4DB127F8"/>
    <w:multiLevelType w:val="hybridMultilevel"/>
    <w:lvl w:ilvl="0">
      <w:lvlJc w:val="left"/>
      <w:lvlText w:val=" "/>
      <w:numFmt w:val="bullet"/>
      <w:start w:val="1"/>
    </w:lvl>
  </w:abstractNum>
  <w:abstractNum w:abstractNumId="3">
    <w:nsid w:val="216231B"/>
    <w:multiLevelType w:val="hybridMultilevel"/>
    <w:lvl w:ilvl="0">
      <w:lvlJc w:val="left"/>
      <w:lvlText w:val="%1."/>
      <w:numFmt w:val="decimal"/>
      <w:start w:val="3"/>
    </w:lvl>
    <w:lvl w:ilvl="1">
      <w:lvlJc w:val="left"/>
      <w:lvlText w:val=" "/>
      <w:numFmt w:val="bullet"/>
      <w:start w:val="1"/>
    </w:lvl>
  </w:abstractNum>
  <w:abstractNum w:abstractNumId="4">
    <w:nsid w:val="1F16E9E8"/>
    <w:multiLevelType w:val="hybridMultilevel"/>
    <w:lvl w:ilvl="0">
      <w:lvlJc w:val="left"/>
      <w:lvlText w:val="%1."/>
      <w:numFmt w:val="decimal"/>
      <w:start w:val="4"/>
    </w:lvl>
    <w:lvl w:ilvl="1">
      <w:lvlJc w:val="left"/>
      <w:lvlText w:val=" "/>
      <w:numFmt w:val="bullet"/>
      <w:start w:val="1"/>
    </w:lvl>
  </w:abstractNum>
  <w:abstractNum w:abstractNumId="5">
    <w:nsid w:val="1190CDE7"/>
    <w:multiLevelType w:val="hybridMultilevel"/>
    <w:lvl w:ilvl="0">
      <w:lvlJc w:val="left"/>
      <w:lvlText w:val=" "/>
      <w:numFmt w:val="bullet"/>
      <w:start w:val="1"/>
    </w:lvl>
  </w:abstractNum>
  <w:abstractNum w:abstractNumId="6">
    <w:nsid w:val="66EF438D"/>
    <w:multiLevelType w:val="hybridMultilevel"/>
    <w:lvl w:ilvl="0">
      <w:lvlJc w:val="left"/>
      <w:lvlText w:val="%1"/>
      <w:numFmt w:val="decimal"/>
      <w:start w:val="4"/>
    </w:lvl>
  </w:abstractNum>
  <w:abstractNum w:abstractNumId="7">
    <w:nsid w:val="140E0F76"/>
    <w:multiLevelType w:val="hybridMultilevel"/>
    <w:lvl w:ilvl="0">
      <w:lvlJc w:val="left"/>
      <w:lvlText w:val="à"/>
      <w:numFmt w:val="bullet"/>
      <w:start w:val="1"/>
    </w:lvl>
  </w:abstractNum>
  <w:abstractNum w:abstractNumId="8">
    <w:nsid w:val="3352255A"/>
    <w:multiLevelType w:val="hybridMultilevel"/>
    <w:lvl w:ilvl="0">
      <w:lvlJc w:val="left"/>
      <w:lvlText w:val=" "/>
      <w:numFmt w:val="bullet"/>
      <w:start w:val="1"/>
    </w:lvl>
  </w:abstractNum>
  <w:abstractNum w:abstractNumId="9">
    <w:nsid w:val="109CF92E"/>
    <w:multiLevelType w:val="hybridMultilevel"/>
    <w:lvl w:ilvl="0">
      <w:lvlJc w:val="left"/>
      <w:lvlText w:val=" "/>
      <w:numFmt w:val="bullet"/>
      <w:start w:val="1"/>
    </w:lvl>
  </w:abstractNum>
  <w:abstractNum w:abstractNumId="10">
    <w:nsid w:val="DED7263"/>
    <w:multiLevelType w:val="hybridMultilevel"/>
    <w:lvl w:ilvl="0">
      <w:lvlJc w:val="left"/>
      <w:lvlText w:val=" "/>
      <w:numFmt w:val="bullet"/>
      <w:start w:val="1"/>
    </w:lvl>
  </w:abstractNum>
  <w:abstractNum w:abstractNumId="11">
    <w:nsid w:val="7FDCC233"/>
    <w:multiLevelType w:val="hybridMultilevel"/>
    <w:lvl w:ilvl="0">
      <w:lvlJc w:val="left"/>
      <w:lvlText w:val=" "/>
      <w:numFmt w:val="bullet"/>
      <w:start w:val="1"/>
    </w:lvl>
  </w:abstractNum>
  <w:abstractNum w:abstractNumId="12">
    <w:nsid w:val="1BEFD79F"/>
    <w:multiLevelType w:val="hybridMultilevel"/>
    <w:lvl w:ilvl="0">
      <w:lvlJc w:val="left"/>
      <w:lvlText w:val="%1"/>
      <w:numFmt w:val="decimal"/>
      <w:start w:val="7"/>
    </w:lvl>
  </w:abstractNum>
  <w:abstractNum w:abstractNumId="13">
    <w:nsid w:val="41A7C4C9"/>
    <w:multiLevelType w:val="hybridMultilevel"/>
    <w:lvl w:ilvl="0">
      <w:lvlJc w:val="left"/>
      <w:lvlText w:val="-"/>
      <w:numFmt w:val="bullet"/>
      <w:start w:val="1"/>
    </w:lvl>
  </w:abstractNum>
  <w:abstractNum w:abstractNumId="14">
    <w:nsid w:val="6B68079A"/>
    <w:multiLevelType w:val="hybridMultilevel"/>
    <w:lvl w:ilvl="0">
      <w:lvlJc w:val="left"/>
      <w:lvlText w:val="-"/>
      <w:numFmt w:val="bullet"/>
      <w:start w:val="1"/>
    </w:lvl>
  </w:abstractNum>
  <w:abstractNum w:abstractNumId="15">
    <w:nsid w:val="4E6AFB66"/>
    <w:multiLevelType w:val="hybridMultilevel"/>
    <w:lvl w:ilvl="0">
      <w:lvlJc w:val="left"/>
      <w:lvlText w:val="-"/>
      <w:numFmt w:val="bullet"/>
      <w:start w:val="1"/>
    </w:lvl>
  </w:abstractNum>
  <w:abstractNum w:abstractNumId="16">
    <w:nsid w:val="25E45D32"/>
    <w:multiLevelType w:val="hybridMultilevel"/>
    <w:lvl w:ilvl="0">
      <w:lvlJc w:val="left"/>
      <w:lvlText w:val="(%1)"/>
      <w:numFmt w:val="lowerRoman"/>
      <w:start w:val="2"/>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2026-09-04T10:19:55Z</dcterms:created>
  <dcterms:modified xsi:type="dcterms:W3CDTF">2026-09-04T10:19:55Z</dcterms:modified>
</cp:coreProperties>
</file>