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Évaluation de la participation citoyenne dans la planification communale</w:t>
      </w:r>
    </w:p>
    <w:p>
      <w:pPr>
        <w:jc w:val="center"/>
      </w:pPr>
      <w:r>
        <w:rPr>
          <w:i/>
          <w:sz w:val="22"/>
        </w:rPr>
        <w:t>Rapport d’étude fictif sur concertation, budget communal, redevabilité, inclusion</w:t>
      </w:r>
    </w:p>
    <w:p>
      <w:pPr>
        <w:jc w:val="center"/>
      </w:pPr>
      <w:r>
        <w:rPr>
          <w:sz w:val="20"/>
        </w:rPr>
        <w:br/>
        <w:t>Référence : RAP-GOU-058</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concertation, budget communal, redevabilité, inclusion dans les zones de Centre-Ouest, Boulkiemdé, Sanguié.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concertation, budget communal, redevabilité, inclusion.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concertation, budget communal, redevabilité, inclusion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concertation, budget communal, redevabilité, inclusion,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Centre-Ouest, Boulkiemdé, Sanguié.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629</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277</w:t>
            </w:r>
          </w:p>
        </w:tc>
        <w:tc>
          <w:tcPr>
            <w:tcW w:type="dxa" w:w="3312"/>
            <w:vAlign w:val="center"/>
          </w:tcPr>
          <w:p>
            <w:r/>
            <w:r>
              <w:rPr>
                <w:b w:val="0"/>
                <w:sz w:val="18"/>
              </w:rPr>
              <w:t>44,0</w:t>
            </w:r>
          </w:p>
        </w:tc>
      </w:tr>
      <w:tr>
        <w:tc>
          <w:tcPr>
            <w:tcW w:type="dxa" w:w="3312"/>
            <w:vAlign w:val="center"/>
          </w:tcPr>
          <w:p>
            <w:r/>
            <w:r>
              <w:rPr>
                <w:b w:val="0"/>
                <w:sz w:val="18"/>
              </w:rPr>
              <w:t>Zone rurale</w:t>
            </w:r>
          </w:p>
        </w:tc>
        <w:tc>
          <w:tcPr>
            <w:tcW w:type="dxa" w:w="3312"/>
            <w:vAlign w:val="center"/>
          </w:tcPr>
          <w:p>
            <w:r/>
            <w:r>
              <w:rPr>
                <w:b w:val="0"/>
                <w:sz w:val="18"/>
              </w:rPr>
              <w:t>352</w:t>
            </w:r>
          </w:p>
        </w:tc>
        <w:tc>
          <w:tcPr>
            <w:tcW w:type="dxa" w:w="3312"/>
            <w:vAlign w:val="center"/>
          </w:tcPr>
          <w:p>
            <w:r/>
            <w:r>
              <w:rPr>
                <w:b w:val="0"/>
                <w:sz w:val="18"/>
              </w:rPr>
              <w:t>56,0</w:t>
            </w:r>
          </w:p>
        </w:tc>
      </w:tr>
      <w:tr>
        <w:tc>
          <w:tcPr>
            <w:tcW w:type="dxa" w:w="3312"/>
            <w:vAlign w:val="center"/>
          </w:tcPr>
          <w:p>
            <w:r/>
            <w:r>
              <w:rPr>
                <w:b w:val="0"/>
                <w:sz w:val="18"/>
              </w:rPr>
              <w:t>Femmes / unités dirigées par une femme</w:t>
            </w:r>
          </w:p>
        </w:tc>
        <w:tc>
          <w:tcPr>
            <w:tcW w:type="dxa" w:w="3312"/>
            <w:vAlign w:val="center"/>
          </w:tcPr>
          <w:p>
            <w:r/>
            <w:r>
              <w:rPr>
                <w:b w:val="0"/>
                <w:sz w:val="18"/>
              </w:rPr>
              <w:t>321</w:t>
            </w:r>
          </w:p>
        </w:tc>
        <w:tc>
          <w:tcPr>
            <w:tcW w:type="dxa" w:w="3312"/>
            <w:vAlign w:val="center"/>
          </w:tcPr>
          <w:p>
            <w:r/>
            <w:r>
              <w:rPr>
                <w:b w:val="0"/>
                <w:sz w:val="18"/>
              </w:rPr>
              <w:t>51,0</w:t>
            </w:r>
          </w:p>
        </w:tc>
      </w:tr>
    </w:tbl>
    <w:p/>
    <w:p>
      <w:pPr>
        <w:pStyle w:val="Heading1"/>
      </w:pPr>
      <w:r>
        <w:t>IV. ANALYSE DES PRINCIPAUX RÉSULTATS</w:t>
      </w:r>
    </w:p>
    <w:p>
      <w:pPr>
        <w:pStyle w:val="Heading2"/>
      </w:pPr>
      <w:r>
        <w:t>IV.1. Situation générale</w:t>
      </w:r>
    </w:p>
    <w:p>
      <w:r>
        <w:t>Les données recueillies montrent que la situation concernant concertation, budget communal, redevabilité, inclusion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4</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concertation, budget communal, redevabilité, inclusion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concertation, budget communal, redevabilité, inclusion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