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de suivi : Analyse de la résilience des exploitations familiales face aux aléas climatiques</w:t>
      </w:r>
    </w:p>
    <w:p>
      <w:pPr>
        <w:jc w:val="center"/>
      </w:pPr>
      <w:r>
        <w:rPr>
          <w:i/>
          <w:sz w:val="22"/>
        </w:rPr>
        <w:t>Rapport d’étude fictif sur sécheresse, inondation, semences, diversification</w:t>
      </w:r>
    </w:p>
    <w:p>
      <w:pPr>
        <w:jc w:val="center"/>
      </w:pPr>
      <w:r>
        <w:rPr>
          <w:sz w:val="20"/>
        </w:rPr>
        <w:br/>
        <w:t>Référence : RAP-CLI-067</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bl>
    <w:p/>
    <w:p>
      <w:pPr>
        <w:pStyle w:val="Heading1"/>
      </w:pPr>
      <w:r>
        <w:t>RÉSUMÉ EXÉCUTIF</w:t>
      </w:r>
    </w:p>
    <w:p>
      <w:r>
        <w:t>Cette étude porte sur sécheresse, inondation, semences, diversification dans les zones de Sahel, Yagha, Seno.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sécheresse, inondation, semences, diversification.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sécheresse, inondation, semences, diversification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sécheresse, inondation, semences, diversification,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Sahel, Yagha, Seno.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582</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274</w:t>
            </w:r>
          </w:p>
        </w:tc>
        <w:tc>
          <w:tcPr>
            <w:tcW w:type="dxa" w:w="3312"/>
            <w:vAlign w:val="center"/>
          </w:tcPr>
          <w:p>
            <w:r/>
            <w:r>
              <w:rPr>
                <w:b w:val="0"/>
                <w:sz w:val="18"/>
              </w:rPr>
              <w:t>47,0</w:t>
            </w:r>
          </w:p>
        </w:tc>
      </w:tr>
      <w:tr>
        <w:tc>
          <w:tcPr>
            <w:tcW w:type="dxa" w:w="3312"/>
            <w:vAlign w:val="center"/>
          </w:tcPr>
          <w:p>
            <w:r/>
            <w:r>
              <w:rPr>
                <w:b w:val="0"/>
                <w:sz w:val="18"/>
              </w:rPr>
              <w:t>Zone rurale</w:t>
            </w:r>
          </w:p>
        </w:tc>
        <w:tc>
          <w:tcPr>
            <w:tcW w:type="dxa" w:w="3312"/>
            <w:vAlign w:val="center"/>
          </w:tcPr>
          <w:p>
            <w:r/>
            <w:r>
              <w:rPr>
                <w:b w:val="0"/>
                <w:sz w:val="18"/>
              </w:rPr>
              <w:t>308</w:t>
            </w:r>
          </w:p>
        </w:tc>
        <w:tc>
          <w:tcPr>
            <w:tcW w:type="dxa" w:w="3312"/>
            <w:vAlign w:val="center"/>
          </w:tcPr>
          <w:p>
            <w:r/>
            <w:r>
              <w:rPr>
                <w:b w:val="0"/>
                <w:sz w:val="18"/>
              </w:rPr>
              <w:t>53,0</w:t>
            </w:r>
          </w:p>
        </w:tc>
      </w:tr>
      <w:tr>
        <w:tc>
          <w:tcPr>
            <w:tcW w:type="dxa" w:w="3312"/>
            <w:vAlign w:val="center"/>
          </w:tcPr>
          <w:p>
            <w:r/>
            <w:r>
              <w:rPr>
                <w:b w:val="0"/>
                <w:sz w:val="18"/>
              </w:rPr>
              <w:t>Femmes / unités dirigées par une femme</w:t>
            </w:r>
          </w:p>
        </w:tc>
        <w:tc>
          <w:tcPr>
            <w:tcW w:type="dxa" w:w="3312"/>
            <w:vAlign w:val="center"/>
          </w:tcPr>
          <w:p>
            <w:r/>
            <w:r>
              <w:rPr>
                <w:b w:val="0"/>
                <w:sz w:val="18"/>
              </w:rPr>
              <w:t>279</w:t>
            </w:r>
          </w:p>
        </w:tc>
        <w:tc>
          <w:tcPr>
            <w:tcW w:type="dxa" w:w="3312"/>
            <w:vAlign w:val="center"/>
          </w:tcPr>
          <w:p>
            <w:r/>
            <w:r>
              <w:rPr>
                <w:b w:val="0"/>
                <w:sz w:val="18"/>
              </w:rPr>
              <w:t>48,0</w:t>
            </w:r>
          </w:p>
        </w:tc>
      </w:tr>
    </w:tbl>
    <w:p/>
    <w:p>
      <w:pPr>
        <w:pStyle w:val="Heading1"/>
      </w:pPr>
      <w:r>
        <w:t>IV. ANALYSE DES PRINCIPAUX RÉSULTATS</w:t>
      </w:r>
    </w:p>
    <w:p>
      <w:pPr>
        <w:pStyle w:val="Heading2"/>
      </w:pPr>
      <w:r>
        <w:t>IV.1. Situation générale</w:t>
      </w:r>
    </w:p>
    <w:p>
      <w:r>
        <w:t>Les données recueillies montrent que la situation concernant sécheresse, inondation, semences, diversification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63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45</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-8</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sécheresse, inondation, semences, diversification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sécheresse, inondation, semences, diversification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