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Évaluation des stratégies de subsistance des ménages vulnérables</w:t>
      </w:r>
    </w:p>
    <w:p>
      <w:pPr>
        <w:jc w:val="center"/>
      </w:pPr>
      <w:r>
        <w:rPr>
          <w:i/>
          <w:sz w:val="22"/>
        </w:rPr>
        <w:t>Rapport d’étude fictif sur revenus, consommation, endettement, assistance</w:t>
      </w:r>
    </w:p>
    <w:p>
      <w:pPr>
        <w:jc w:val="center"/>
      </w:pPr>
      <w:r>
        <w:rPr>
          <w:sz w:val="20"/>
        </w:rPr>
        <w:br/>
        <w:t>Référence : RAP-SÉC-069</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revenus, consommation, endettement, assistance dans les zones de Est, Tapoa, Fada.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revenus, consommation, endettement, assistance.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revenus, consommation, endettement, assistance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revenus, consommation, endettement, assistance,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Est, Tapoa, Fada.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656</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400</w:t>
            </w:r>
          </w:p>
        </w:tc>
        <w:tc>
          <w:tcPr>
            <w:tcW w:type="dxa" w:w="3312"/>
            <w:vAlign w:val="center"/>
          </w:tcPr>
          <w:p>
            <w:r/>
            <w:r>
              <w:rPr>
                <w:b w:val="0"/>
                <w:sz w:val="18"/>
              </w:rPr>
              <w:t>61,0</w:t>
            </w:r>
          </w:p>
        </w:tc>
      </w:tr>
      <w:tr>
        <w:tc>
          <w:tcPr>
            <w:tcW w:type="dxa" w:w="3312"/>
            <w:vAlign w:val="center"/>
          </w:tcPr>
          <w:p>
            <w:r/>
            <w:r>
              <w:rPr>
                <w:b w:val="0"/>
                <w:sz w:val="18"/>
              </w:rPr>
              <w:t>Zone rurale</w:t>
            </w:r>
          </w:p>
        </w:tc>
        <w:tc>
          <w:tcPr>
            <w:tcW w:type="dxa" w:w="3312"/>
            <w:vAlign w:val="center"/>
          </w:tcPr>
          <w:p>
            <w:r/>
            <w:r>
              <w:rPr>
                <w:b w:val="0"/>
                <w:sz w:val="18"/>
              </w:rPr>
              <w:t>256</w:t>
            </w:r>
          </w:p>
        </w:tc>
        <w:tc>
          <w:tcPr>
            <w:tcW w:type="dxa" w:w="3312"/>
            <w:vAlign w:val="center"/>
          </w:tcPr>
          <w:p>
            <w:r/>
            <w:r>
              <w:rPr>
                <w:b w:val="0"/>
                <w:sz w:val="18"/>
              </w:rPr>
              <w:t>39,0</w:t>
            </w:r>
          </w:p>
        </w:tc>
      </w:tr>
      <w:tr>
        <w:tc>
          <w:tcPr>
            <w:tcW w:type="dxa" w:w="3312"/>
            <w:vAlign w:val="center"/>
          </w:tcPr>
          <w:p>
            <w:r/>
            <w:r>
              <w:rPr>
                <w:b w:val="0"/>
                <w:sz w:val="18"/>
              </w:rPr>
              <w:t>Femmes / unités dirigées par une femme</w:t>
            </w:r>
          </w:p>
        </w:tc>
        <w:tc>
          <w:tcPr>
            <w:tcW w:type="dxa" w:w="3312"/>
            <w:vAlign w:val="center"/>
          </w:tcPr>
          <w:p>
            <w:r/>
            <w:r>
              <w:rPr>
                <w:b w:val="0"/>
                <w:sz w:val="18"/>
              </w:rPr>
              <w:t>328</w:t>
            </w:r>
          </w:p>
        </w:tc>
        <w:tc>
          <w:tcPr>
            <w:tcW w:type="dxa" w:w="3312"/>
            <w:vAlign w:val="center"/>
          </w:tcPr>
          <w:p>
            <w:r/>
            <w:r>
              <w:rPr>
                <w:b w:val="0"/>
                <w:sz w:val="18"/>
              </w:rPr>
              <w:t>50,0</w:t>
            </w:r>
          </w:p>
        </w:tc>
      </w:tr>
    </w:tbl>
    <w:p/>
    <w:p>
      <w:pPr>
        <w:pStyle w:val="Heading1"/>
      </w:pPr>
      <w:r>
        <w:t>IV. ANALYSE DES PRINCIPAUX RÉSULTATS</w:t>
      </w:r>
    </w:p>
    <w:p>
      <w:pPr>
        <w:pStyle w:val="Heading2"/>
      </w:pPr>
      <w:r>
        <w:t>IV.1. Situation générale</w:t>
      </w:r>
    </w:p>
    <w:p>
      <w:r>
        <w:t>Les données recueillies montrent que la situation concernant revenus, consommation, endettement, assistance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revenus, consommation, endettement, assistance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revenus, consommation, endettement, assistance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