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de suivi : Inventaire participatif des sites culturels et des besoins de valorisation</w:t>
      </w:r>
    </w:p>
    <w:p>
      <w:pPr>
        <w:jc w:val="center"/>
      </w:pPr>
      <w:r>
        <w:rPr>
          <w:i/>
          <w:sz w:val="22"/>
        </w:rPr>
        <w:t>Rapport d’étude fictif sur patrimoine, tourisme local, conservation, transmission</w:t>
      </w:r>
    </w:p>
    <w:p>
      <w:pPr>
        <w:jc w:val="center"/>
      </w:pPr>
      <w:r>
        <w:rPr>
          <w:sz w:val="20"/>
        </w:rPr>
        <w:br/>
        <w:t>Référence : RAP-PAT-070</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bl>
    <w:p/>
    <w:p>
      <w:pPr>
        <w:pStyle w:val="Heading1"/>
      </w:pPr>
      <w:r>
        <w:t>RÉSUMÉ EXÉCUTIF</w:t>
      </w:r>
    </w:p>
    <w:p>
      <w:r>
        <w:t>Cette étude porte sur patrimoine, tourisme local, conservation, transmission dans les zones de Centre-Ouest, Sanguié, Koudougou.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patrimoine, tourisme local, conservation, transmission.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patrimoine, tourisme local, conservation, transmission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patrimoine, tourisme local, conservation, transmission,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Centre-Ouest, Sanguié, Koudougou.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693</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263</w:t>
            </w:r>
          </w:p>
        </w:tc>
        <w:tc>
          <w:tcPr>
            <w:tcW w:type="dxa" w:w="3312"/>
            <w:vAlign w:val="center"/>
          </w:tcPr>
          <w:p>
            <w:r/>
            <w:r>
              <w:rPr>
                <w:b w:val="0"/>
                <w:sz w:val="18"/>
              </w:rPr>
              <w:t>38,0</w:t>
            </w:r>
          </w:p>
        </w:tc>
      </w:tr>
      <w:tr>
        <w:tc>
          <w:tcPr>
            <w:tcW w:type="dxa" w:w="3312"/>
            <w:vAlign w:val="center"/>
          </w:tcPr>
          <w:p>
            <w:r/>
            <w:r>
              <w:rPr>
                <w:b w:val="0"/>
                <w:sz w:val="18"/>
              </w:rPr>
              <w:t>Zone rurale</w:t>
            </w:r>
          </w:p>
        </w:tc>
        <w:tc>
          <w:tcPr>
            <w:tcW w:type="dxa" w:w="3312"/>
            <w:vAlign w:val="center"/>
          </w:tcPr>
          <w:p>
            <w:r/>
            <w:r>
              <w:rPr>
                <w:b w:val="0"/>
                <w:sz w:val="18"/>
              </w:rPr>
              <w:t>430</w:t>
            </w:r>
          </w:p>
        </w:tc>
        <w:tc>
          <w:tcPr>
            <w:tcW w:type="dxa" w:w="3312"/>
            <w:vAlign w:val="center"/>
          </w:tcPr>
          <w:p>
            <w:r/>
            <w:r>
              <w:rPr>
                <w:b w:val="0"/>
                <w:sz w:val="18"/>
              </w:rPr>
              <w:t>62,0</w:t>
            </w:r>
          </w:p>
        </w:tc>
      </w:tr>
      <w:tr>
        <w:tc>
          <w:tcPr>
            <w:tcW w:type="dxa" w:w="3312"/>
            <w:vAlign w:val="center"/>
          </w:tcPr>
          <w:p>
            <w:r/>
            <w:r>
              <w:rPr>
                <w:b w:val="0"/>
                <w:sz w:val="18"/>
              </w:rPr>
              <w:t>Femmes / unités dirigées par une femme</w:t>
            </w:r>
          </w:p>
        </w:tc>
        <w:tc>
          <w:tcPr>
            <w:tcW w:type="dxa" w:w="3312"/>
            <w:vAlign w:val="center"/>
          </w:tcPr>
          <w:p>
            <w:r/>
            <w:r>
              <w:rPr>
                <w:b w:val="0"/>
                <w:sz w:val="18"/>
              </w:rPr>
              <w:t>353</w:t>
            </w:r>
          </w:p>
        </w:tc>
        <w:tc>
          <w:tcPr>
            <w:tcW w:type="dxa" w:w="3312"/>
            <w:vAlign w:val="center"/>
          </w:tcPr>
          <w:p>
            <w:r/>
            <w:r>
              <w:rPr>
                <w:b w:val="0"/>
                <w:sz w:val="18"/>
              </w:rPr>
              <w:t>51,0</w:t>
            </w:r>
          </w:p>
        </w:tc>
      </w:tr>
    </w:tbl>
    <w:p/>
    <w:p>
      <w:pPr>
        <w:pStyle w:val="Heading1"/>
      </w:pPr>
      <w:r>
        <w:t>IV. ANALYSE DES PRINCIPAUX RÉSULTATS</w:t>
      </w:r>
    </w:p>
    <w:p>
      <w:pPr>
        <w:pStyle w:val="Heading2"/>
      </w:pPr>
      <w:r>
        <w:t>IV.1. Situation générale</w:t>
      </w:r>
    </w:p>
    <w:p>
      <w:r>
        <w:t>Les données recueillies montrent que la situation concernant patrimoine, tourisme local, conservation, transmission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78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29</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-7</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patrimoine, tourisme local, conservation, transmission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patrimoine, tourisme local, conservation, transmission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