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Étude de restauration des terres dégradées par les techniques de gestion durable</w:t>
      </w:r>
    </w:p>
    <w:p>
      <w:pPr>
        <w:jc w:val="center"/>
      </w:pPr>
      <w:r>
        <w:rPr>
          <w:i/>
          <w:sz w:val="22"/>
        </w:rPr>
        <w:t>Rapport d’étude fictif sur récupération des sols, cordons pierreux, zaï, régénération naturelle</w:t>
      </w:r>
    </w:p>
    <w:p>
      <w:pPr>
        <w:jc w:val="center"/>
      </w:pPr>
      <w:r>
        <w:rPr>
          <w:sz w:val="20"/>
        </w:rPr>
        <w:br/>
        <w:t>Référence : RAP-ENV-085</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récupération des sols, cordons pierreux, zaï, régénération naturelle dans les zones de Nord, Passoré, Zondoma.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récupération des sols, cordons pierreux, zaï, régénération naturelle.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récupération des sols, cordons pierreux, zaï, régénération naturelle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récupération des sols, cordons pierreux, zaï, régénération naturelle,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Nord, Passoré, Zondoma.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488</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259</w:t>
            </w:r>
          </w:p>
        </w:tc>
        <w:tc>
          <w:tcPr>
            <w:tcW w:type="dxa" w:w="3312"/>
            <w:vAlign w:val="center"/>
          </w:tcPr>
          <w:p>
            <w:r/>
            <w:r>
              <w:rPr>
                <w:b w:val="0"/>
                <w:sz w:val="18"/>
              </w:rPr>
              <w:t>53,0</w:t>
            </w:r>
          </w:p>
        </w:tc>
      </w:tr>
      <w:tr>
        <w:tc>
          <w:tcPr>
            <w:tcW w:type="dxa" w:w="3312"/>
            <w:vAlign w:val="center"/>
          </w:tcPr>
          <w:p>
            <w:r/>
            <w:r>
              <w:rPr>
                <w:b w:val="0"/>
                <w:sz w:val="18"/>
              </w:rPr>
              <w:t>Zone rurale</w:t>
            </w:r>
          </w:p>
        </w:tc>
        <w:tc>
          <w:tcPr>
            <w:tcW w:type="dxa" w:w="3312"/>
            <w:vAlign w:val="center"/>
          </w:tcPr>
          <w:p>
            <w:r/>
            <w:r>
              <w:rPr>
                <w:b w:val="0"/>
                <w:sz w:val="18"/>
              </w:rPr>
              <w:t>229</w:t>
            </w:r>
          </w:p>
        </w:tc>
        <w:tc>
          <w:tcPr>
            <w:tcW w:type="dxa" w:w="3312"/>
            <w:vAlign w:val="center"/>
          </w:tcPr>
          <w:p>
            <w:r/>
            <w:r>
              <w:rPr>
                <w:b w:val="0"/>
                <w:sz w:val="18"/>
              </w:rPr>
              <w:t>47,0</w:t>
            </w:r>
          </w:p>
        </w:tc>
      </w:tr>
      <w:tr>
        <w:tc>
          <w:tcPr>
            <w:tcW w:type="dxa" w:w="3312"/>
            <w:vAlign w:val="center"/>
          </w:tcPr>
          <w:p>
            <w:r/>
            <w:r>
              <w:rPr>
                <w:b w:val="0"/>
                <w:sz w:val="18"/>
              </w:rPr>
              <w:t>Femmes / unités dirigées par une femme</w:t>
            </w:r>
          </w:p>
        </w:tc>
        <w:tc>
          <w:tcPr>
            <w:tcW w:type="dxa" w:w="3312"/>
            <w:vAlign w:val="center"/>
          </w:tcPr>
          <w:p>
            <w:r/>
            <w:r>
              <w:rPr>
                <w:b w:val="0"/>
                <w:sz w:val="18"/>
              </w:rPr>
              <w:t>205</w:t>
            </w:r>
          </w:p>
        </w:tc>
        <w:tc>
          <w:tcPr>
            <w:tcW w:type="dxa" w:w="3312"/>
            <w:vAlign w:val="center"/>
          </w:tcPr>
          <w:p>
            <w:r/>
            <w:r>
              <w:rPr>
                <w:b w:val="0"/>
                <w:sz w:val="18"/>
              </w:rPr>
              <w:t>42,0</w:t>
            </w:r>
          </w:p>
        </w:tc>
      </w:tr>
    </w:tbl>
    <w:p/>
    <w:p>
      <w:pPr>
        <w:pStyle w:val="Heading1"/>
      </w:pPr>
      <w:r>
        <w:t>IV. ANALYSE DES PRINCIPAUX RÉSULTATS</w:t>
      </w:r>
    </w:p>
    <w:p>
      <w:pPr>
        <w:pStyle w:val="Heading2"/>
      </w:pPr>
      <w:r>
        <w:t>IV.1. Situation générale</w:t>
      </w:r>
    </w:p>
    <w:p>
      <w:r>
        <w:t>Les données recueillies indiquent que la situation concernant récupération des sols, cordons pierreux, zaï, régénération naturelle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48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24</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28</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récupération des sols, cordons pierreux, zaï, régénération naturelle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récupération des sols, cordons pierreux, zaï, régénération naturelle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