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Diagnostic des besoins énergétiques des infrastructures communautaires</w:t>
      </w:r>
    </w:p>
    <w:p>
      <w:pPr>
        <w:jc w:val="center"/>
      </w:pPr>
      <w:r>
        <w:rPr>
          <w:i/>
          <w:sz w:val="22"/>
        </w:rPr>
        <w:t>Rapport d’étude fictif sur éclairage solaire, coûts énergétiques, maintenance, autonomie</w:t>
      </w:r>
    </w:p>
    <w:p>
      <w:pPr>
        <w:jc w:val="center"/>
      </w:pPr>
      <w:r>
        <w:rPr>
          <w:sz w:val="20"/>
        </w:rPr>
        <w:br/>
        <w:t>Référence : RAP-ÉNE-086</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éclairage solaire, coûts énergétiques, maintenance, autonomie dans les zones de Est, Gourma, Komondjari.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éclairage solaire, coûts énergétiques, maintenance, autonomie.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éclairage solaire, coûts énergétiques, maintenance, autonomie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éclairage solaire, coûts énergétiques, maintenance, autonomie,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Est, Gourma, Komondjari.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525</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315</w:t>
            </w:r>
          </w:p>
        </w:tc>
        <w:tc>
          <w:tcPr>
            <w:tcW w:type="dxa" w:w="3312"/>
            <w:vAlign w:val="center"/>
          </w:tcPr>
          <w:p>
            <w:r/>
            <w:r>
              <w:rPr>
                <w:b w:val="0"/>
                <w:sz w:val="18"/>
              </w:rPr>
              <w:t>60,0</w:t>
            </w:r>
          </w:p>
        </w:tc>
      </w:tr>
      <w:tr>
        <w:tc>
          <w:tcPr>
            <w:tcW w:type="dxa" w:w="3312"/>
            <w:vAlign w:val="center"/>
          </w:tcPr>
          <w:p>
            <w:r/>
            <w:r>
              <w:rPr>
                <w:b w:val="0"/>
                <w:sz w:val="18"/>
              </w:rPr>
              <w:t>Zone rurale</w:t>
            </w:r>
          </w:p>
        </w:tc>
        <w:tc>
          <w:tcPr>
            <w:tcW w:type="dxa" w:w="3312"/>
            <w:vAlign w:val="center"/>
          </w:tcPr>
          <w:p>
            <w:r/>
            <w:r>
              <w:rPr>
                <w:b w:val="0"/>
                <w:sz w:val="18"/>
              </w:rPr>
              <w:t>210</w:t>
            </w:r>
          </w:p>
        </w:tc>
        <w:tc>
          <w:tcPr>
            <w:tcW w:type="dxa" w:w="3312"/>
            <w:vAlign w:val="center"/>
          </w:tcPr>
          <w:p>
            <w:r/>
            <w:r>
              <w:rPr>
                <w:b w:val="0"/>
                <w:sz w:val="18"/>
              </w:rPr>
              <w:t>40,0</w:t>
            </w:r>
          </w:p>
        </w:tc>
      </w:tr>
      <w:tr>
        <w:tc>
          <w:tcPr>
            <w:tcW w:type="dxa" w:w="3312"/>
            <w:vAlign w:val="center"/>
          </w:tcPr>
          <w:p>
            <w:r/>
            <w:r>
              <w:rPr>
                <w:b w:val="0"/>
                <w:sz w:val="18"/>
              </w:rPr>
              <w:t>Femmes / unités dirigées par une femme</w:t>
            </w:r>
          </w:p>
        </w:tc>
        <w:tc>
          <w:tcPr>
            <w:tcW w:type="dxa" w:w="3312"/>
            <w:vAlign w:val="center"/>
          </w:tcPr>
          <w:p>
            <w:r/>
            <w:r>
              <w:rPr>
                <w:b w:val="0"/>
                <w:sz w:val="18"/>
              </w:rPr>
              <w:t>226</w:t>
            </w:r>
          </w:p>
        </w:tc>
        <w:tc>
          <w:tcPr>
            <w:tcW w:type="dxa" w:w="3312"/>
            <w:vAlign w:val="center"/>
          </w:tcPr>
          <w:p>
            <w:r/>
            <w:r>
              <w:rPr>
                <w:b w:val="0"/>
                <w:sz w:val="18"/>
              </w:rPr>
              <w:t>43,0</w:t>
            </w:r>
          </w:p>
        </w:tc>
      </w:tr>
    </w:tbl>
    <w:p/>
    <w:p>
      <w:pPr>
        <w:pStyle w:val="Heading1"/>
      </w:pPr>
      <w:r>
        <w:t>IV. ANALYSE DES PRINCIPAUX RÉSULTATS</w:t>
      </w:r>
    </w:p>
    <w:p>
      <w:pPr>
        <w:pStyle w:val="Heading2"/>
      </w:pPr>
      <w:r>
        <w:t>IV.1. Situation générale</w:t>
      </w:r>
    </w:p>
    <w:p>
      <w:r>
        <w:t>Les données recueillies indiquent que la situation concernant éclairage solaire, coûts énergétiques, maintenance, autonomie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27</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20</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éclairage solaire, coûts énergétiques, maintenance, autonomie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éclairage solaire, coûts énergétiques, maintenance, autonomie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